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65C" w:rsidRDefault="00A81AA7">
      <w:pPr>
        <w:pStyle w:val="aa"/>
        <w:tabs>
          <w:tab w:val="right" w:pos="9638"/>
        </w:tabs>
        <w:rPr>
          <w:sz w:val="24"/>
          <w:szCs w:val="24"/>
          <w:lang w:val="en-US" w:eastAsia="zh-CN"/>
        </w:rPr>
      </w:pPr>
      <w:r>
        <w:rPr>
          <w:sz w:val="24"/>
          <w:szCs w:val="24"/>
        </w:rPr>
        <w:t xml:space="preserve">3GPP SA WG1 Meeting # </w:t>
      </w:r>
      <w:r>
        <w:rPr>
          <w:rFonts w:hint="eastAsia"/>
          <w:sz w:val="24"/>
          <w:szCs w:val="24"/>
          <w:lang w:eastAsia="zh-CN"/>
        </w:rPr>
        <w:t>9</w:t>
      </w:r>
      <w:r w:rsidR="00D36542">
        <w:rPr>
          <w:sz w:val="24"/>
          <w:szCs w:val="24"/>
          <w:lang w:val="en-US" w:eastAsia="zh-CN"/>
        </w:rPr>
        <w:t>8</w:t>
      </w:r>
      <w:r>
        <w:rPr>
          <w:rFonts w:hint="eastAsia"/>
          <w:sz w:val="24"/>
          <w:szCs w:val="24"/>
          <w:lang w:eastAsia="zh-CN"/>
        </w:rPr>
        <w:t>e</w:t>
      </w:r>
      <w:r>
        <w:rPr>
          <w:sz w:val="24"/>
          <w:szCs w:val="24"/>
        </w:rPr>
        <w:tab/>
      </w:r>
      <w:bookmarkStart w:id="0" w:name="_GoBack"/>
      <w:r>
        <w:rPr>
          <w:sz w:val="24"/>
          <w:szCs w:val="24"/>
        </w:rPr>
        <w:t>S1-22</w:t>
      </w:r>
      <w:r w:rsidR="001A6C08">
        <w:rPr>
          <w:sz w:val="24"/>
          <w:szCs w:val="24"/>
        </w:rPr>
        <w:t>1127</w:t>
      </w:r>
      <w:bookmarkEnd w:id="0"/>
    </w:p>
    <w:p w:rsidR="00B0165C" w:rsidRDefault="00A81AA7">
      <w:pPr>
        <w:pStyle w:val="aa"/>
        <w:pBdr>
          <w:bottom w:val="single" w:sz="4" w:space="1" w:color="auto"/>
        </w:pBdr>
        <w:tabs>
          <w:tab w:val="right" w:pos="9638"/>
        </w:tabs>
        <w:rPr>
          <w:rFonts w:eastAsia="Batang" w:cs="Arial"/>
          <w:sz w:val="20"/>
          <w:lang w:eastAsia="zh-CN"/>
        </w:rPr>
      </w:pPr>
      <w:r>
        <w:rPr>
          <w:sz w:val="24"/>
          <w:szCs w:val="24"/>
        </w:rPr>
        <w:t xml:space="preserve">Electronic Meeting, </w:t>
      </w:r>
      <w:r w:rsidR="00D36542">
        <w:rPr>
          <w:sz w:val="24"/>
          <w:szCs w:val="24"/>
        </w:rPr>
        <w:t>09</w:t>
      </w:r>
      <w:r>
        <w:rPr>
          <w:sz w:val="24"/>
          <w:szCs w:val="24"/>
        </w:rPr>
        <w:t xml:space="preserve"> - </w:t>
      </w:r>
      <w:r w:rsidR="00D36542">
        <w:rPr>
          <w:sz w:val="24"/>
          <w:szCs w:val="24"/>
        </w:rPr>
        <w:t>19</w:t>
      </w:r>
      <w:r>
        <w:rPr>
          <w:sz w:val="24"/>
          <w:szCs w:val="24"/>
        </w:rPr>
        <w:t xml:space="preserve"> </w:t>
      </w:r>
      <w:r w:rsidR="00D36542">
        <w:rPr>
          <w:sz w:val="24"/>
          <w:szCs w:val="24"/>
        </w:rPr>
        <w:t>May</w:t>
      </w:r>
      <w:r>
        <w:rPr>
          <w:sz w:val="24"/>
          <w:szCs w:val="24"/>
        </w:rPr>
        <w:t xml:space="preserve"> 2022</w:t>
      </w:r>
      <w:r>
        <w:rPr>
          <w:sz w:val="20"/>
        </w:rPr>
        <w:tab/>
      </w:r>
    </w:p>
    <w:p w:rsidR="00B0165C" w:rsidRDefault="00B0165C">
      <w:pPr>
        <w:pStyle w:val="aa"/>
        <w:tabs>
          <w:tab w:val="right" w:pos="9638"/>
        </w:tabs>
        <w:rPr>
          <w:sz w:val="20"/>
        </w:rPr>
      </w:pPr>
    </w:p>
    <w:p w:rsidR="00B0165C" w:rsidRDefault="00A81AA7">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D36542">
        <w:rPr>
          <w:rFonts w:ascii="Arial" w:eastAsia="Batang" w:hAnsi="Arial"/>
          <w:b/>
          <w:sz w:val="24"/>
          <w:szCs w:val="24"/>
          <w:lang w:val="en-US" w:eastAsia="zh-CN"/>
        </w:rPr>
        <w:t>China Telecom, CATT, China Mobile, Xiaomi</w:t>
      </w:r>
    </w:p>
    <w:p w:rsidR="00B0165C" w:rsidRDefault="00A81AA7">
      <w:pPr>
        <w:tabs>
          <w:tab w:val="left" w:pos="2127"/>
        </w:tabs>
        <w:overflowPunct/>
        <w:autoSpaceDE/>
        <w:autoSpaceDN/>
        <w:adjustRightInd/>
        <w:spacing w:after="0"/>
        <w:ind w:left="2127" w:hanging="2127"/>
        <w:jc w:val="both"/>
        <w:textAlignment w:val="auto"/>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hAnsi="Arial" w:cs="Arial" w:hint="eastAsia"/>
          <w:b/>
          <w:sz w:val="24"/>
          <w:szCs w:val="24"/>
          <w:lang w:eastAsia="zh-CN"/>
        </w:rPr>
        <w:t>S</w:t>
      </w:r>
      <w:r>
        <w:rPr>
          <w:rFonts w:ascii="Arial" w:eastAsia="Batang" w:hAnsi="Arial" w:cs="Arial"/>
          <w:b/>
          <w:sz w:val="24"/>
          <w:szCs w:val="24"/>
          <w:lang w:eastAsia="zh-CN"/>
        </w:rPr>
        <w:t>ID on satellite access Phase 3</w:t>
      </w:r>
    </w:p>
    <w:p w:rsidR="00B0165C" w:rsidRDefault="00A81AA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rsidR="00B0165C" w:rsidRDefault="00A81AA7">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hAnsi="Arial" w:hint="eastAsia"/>
          <w:b/>
          <w:sz w:val="24"/>
          <w:szCs w:val="24"/>
          <w:lang w:val="en-US" w:eastAsia="zh-CN"/>
        </w:rPr>
        <w:t>4</w:t>
      </w:r>
    </w:p>
    <w:p w:rsidR="00B0165C" w:rsidRDefault="00B0165C">
      <w:pPr>
        <w:rPr>
          <w:rFonts w:eastAsia="Batang"/>
          <w:lang w:val="en-US" w:eastAsia="zh-CN"/>
        </w:rPr>
      </w:pPr>
    </w:p>
    <w:p w:rsidR="00B0165C" w:rsidRDefault="00A81AA7">
      <w:pPr>
        <w:pStyle w:val="8"/>
        <w:jc w:val="center"/>
      </w:pPr>
      <w:r>
        <w:t>3GPP™ Work Item Description</w:t>
      </w:r>
    </w:p>
    <w:p w:rsidR="00B0165C" w:rsidRDefault="00A81AA7">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rsidR="00B0165C" w:rsidRDefault="00A81AA7">
      <w:pPr>
        <w:pStyle w:val="8"/>
        <w:rPr>
          <w:lang w:val="en-US" w:eastAsia="zh-CN"/>
        </w:rPr>
      </w:pPr>
      <w:r>
        <w:t xml:space="preserve">Title:Study on satellite access </w:t>
      </w:r>
      <w:r>
        <w:rPr>
          <w:rFonts w:hint="eastAsia"/>
          <w:lang w:val="en-US" w:eastAsia="zh-CN"/>
        </w:rPr>
        <w:t>- Phase 3</w:t>
      </w:r>
    </w:p>
    <w:p w:rsidR="00B0165C" w:rsidRDefault="00A81AA7">
      <w:pPr>
        <w:pStyle w:val="8"/>
      </w:pPr>
      <w:r>
        <w:t xml:space="preserve">Acronym: </w:t>
      </w:r>
      <w:r>
        <w:rPr>
          <w:rFonts w:hint="eastAsia"/>
        </w:rPr>
        <w:t>FS_5GSAT_Ph3</w:t>
      </w:r>
    </w:p>
    <w:p w:rsidR="00B0165C" w:rsidRDefault="00A81AA7">
      <w:pPr>
        <w:pStyle w:val="8"/>
      </w:pPr>
      <w:r>
        <w:t>Unique identifier:</w:t>
      </w:r>
      <w:r>
        <w:tab/>
      </w:r>
    </w:p>
    <w:p w:rsidR="00B0165C" w:rsidRDefault="00A81AA7">
      <w:pPr>
        <w:pStyle w:val="8"/>
        <w:rPr>
          <w:lang w:eastAsia="zh-CN"/>
        </w:rPr>
      </w:pPr>
      <w:r>
        <w:t>Potential target Release:</w:t>
      </w:r>
      <w:r>
        <w:tab/>
      </w:r>
      <w:r>
        <w:rPr>
          <w:i/>
          <w:iCs/>
        </w:rPr>
        <w:t>Rel-</w:t>
      </w:r>
      <w:r>
        <w:rPr>
          <w:rFonts w:hint="eastAsia"/>
          <w:i/>
          <w:iCs/>
          <w:lang w:eastAsia="zh-CN"/>
        </w:rPr>
        <w:t>19</w:t>
      </w:r>
    </w:p>
    <w:p w:rsidR="00B0165C" w:rsidRDefault="00B0165C">
      <w:pPr>
        <w:pStyle w:val="Guidance"/>
      </w:pPr>
    </w:p>
    <w:p w:rsidR="00B0165C" w:rsidRDefault="00A81AA7">
      <w:pPr>
        <w:pStyle w:val="1"/>
      </w:pPr>
      <w:r>
        <w:t>1</w:t>
      </w:r>
      <w:r>
        <w:tab/>
        <w:t>Impacts</w:t>
      </w:r>
    </w:p>
    <w:p w:rsidR="00B0165C" w:rsidRDefault="00B0165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0165C">
        <w:trPr>
          <w:cantSplit/>
          <w:jc w:val="center"/>
        </w:trPr>
        <w:tc>
          <w:tcPr>
            <w:tcW w:w="1515" w:type="dxa"/>
            <w:tcBorders>
              <w:bottom w:val="single" w:sz="12" w:space="0" w:color="auto"/>
              <w:right w:val="single" w:sz="12" w:space="0" w:color="auto"/>
            </w:tcBorders>
            <w:shd w:val="clear" w:color="auto" w:fill="E0E0E0"/>
          </w:tcPr>
          <w:p w:rsidR="00B0165C" w:rsidRDefault="00A81AA7">
            <w:pPr>
              <w:pStyle w:val="TAH"/>
            </w:pPr>
            <w:r>
              <w:t>Affects:</w:t>
            </w:r>
          </w:p>
        </w:tc>
        <w:tc>
          <w:tcPr>
            <w:tcW w:w="1275" w:type="dxa"/>
            <w:tcBorders>
              <w:left w:val="nil"/>
              <w:bottom w:val="single" w:sz="12" w:space="0" w:color="auto"/>
            </w:tcBorders>
            <w:shd w:val="clear" w:color="auto" w:fill="E0E0E0"/>
          </w:tcPr>
          <w:p w:rsidR="00B0165C" w:rsidRDefault="00A81AA7">
            <w:pPr>
              <w:pStyle w:val="TAH"/>
            </w:pPr>
            <w:r>
              <w:t>UICC apps</w:t>
            </w:r>
          </w:p>
        </w:tc>
        <w:tc>
          <w:tcPr>
            <w:tcW w:w="1037" w:type="dxa"/>
            <w:tcBorders>
              <w:bottom w:val="single" w:sz="12" w:space="0" w:color="auto"/>
            </w:tcBorders>
            <w:shd w:val="clear" w:color="auto" w:fill="E0E0E0"/>
          </w:tcPr>
          <w:p w:rsidR="00B0165C" w:rsidRDefault="00A81AA7">
            <w:pPr>
              <w:pStyle w:val="TAH"/>
            </w:pPr>
            <w:r>
              <w:t>ME</w:t>
            </w:r>
          </w:p>
        </w:tc>
        <w:tc>
          <w:tcPr>
            <w:tcW w:w="850" w:type="dxa"/>
            <w:tcBorders>
              <w:bottom w:val="single" w:sz="12" w:space="0" w:color="auto"/>
            </w:tcBorders>
            <w:shd w:val="clear" w:color="auto" w:fill="E0E0E0"/>
          </w:tcPr>
          <w:p w:rsidR="00B0165C" w:rsidRDefault="00A81AA7">
            <w:pPr>
              <w:pStyle w:val="TAH"/>
            </w:pPr>
            <w:r>
              <w:t>AN</w:t>
            </w:r>
          </w:p>
        </w:tc>
        <w:tc>
          <w:tcPr>
            <w:tcW w:w="851" w:type="dxa"/>
            <w:tcBorders>
              <w:bottom w:val="single" w:sz="12" w:space="0" w:color="auto"/>
            </w:tcBorders>
            <w:shd w:val="clear" w:color="auto" w:fill="E0E0E0"/>
          </w:tcPr>
          <w:p w:rsidR="00B0165C" w:rsidRDefault="00A81AA7">
            <w:pPr>
              <w:pStyle w:val="TAH"/>
            </w:pPr>
            <w:r>
              <w:t>CN</w:t>
            </w:r>
          </w:p>
        </w:tc>
        <w:tc>
          <w:tcPr>
            <w:tcW w:w="1752" w:type="dxa"/>
            <w:tcBorders>
              <w:bottom w:val="single" w:sz="12" w:space="0" w:color="auto"/>
            </w:tcBorders>
            <w:shd w:val="clear" w:color="auto" w:fill="E0E0E0"/>
          </w:tcPr>
          <w:p w:rsidR="00B0165C" w:rsidRDefault="00A81AA7">
            <w:pPr>
              <w:pStyle w:val="TAH"/>
            </w:pPr>
            <w:r>
              <w:t>Others (specify)</w:t>
            </w:r>
          </w:p>
        </w:tc>
      </w:tr>
      <w:tr w:rsidR="00B0165C">
        <w:trPr>
          <w:cantSplit/>
          <w:jc w:val="center"/>
        </w:trPr>
        <w:tc>
          <w:tcPr>
            <w:tcW w:w="1515" w:type="dxa"/>
            <w:tcBorders>
              <w:top w:val="nil"/>
              <w:right w:val="single" w:sz="12" w:space="0" w:color="auto"/>
            </w:tcBorders>
          </w:tcPr>
          <w:p w:rsidR="00B0165C" w:rsidRDefault="00A81AA7">
            <w:pPr>
              <w:pStyle w:val="TAH"/>
            </w:pPr>
            <w:r>
              <w:t>Yes</w:t>
            </w:r>
          </w:p>
        </w:tc>
        <w:tc>
          <w:tcPr>
            <w:tcW w:w="1275" w:type="dxa"/>
            <w:tcBorders>
              <w:top w:val="nil"/>
              <w:left w:val="nil"/>
            </w:tcBorders>
          </w:tcPr>
          <w:p w:rsidR="00B0165C" w:rsidRDefault="00B0165C">
            <w:pPr>
              <w:pStyle w:val="TAC"/>
            </w:pPr>
          </w:p>
        </w:tc>
        <w:tc>
          <w:tcPr>
            <w:tcW w:w="1037" w:type="dxa"/>
            <w:tcBorders>
              <w:top w:val="nil"/>
            </w:tcBorders>
          </w:tcPr>
          <w:p w:rsidR="00B0165C" w:rsidRDefault="00A81AA7">
            <w:pPr>
              <w:pStyle w:val="TAC"/>
              <w:rPr>
                <w:lang w:eastAsia="zh-CN"/>
              </w:rPr>
            </w:pPr>
            <w:r>
              <w:rPr>
                <w:rFonts w:hint="eastAsia"/>
                <w:lang w:eastAsia="zh-CN"/>
              </w:rPr>
              <w:t>X</w:t>
            </w:r>
          </w:p>
        </w:tc>
        <w:tc>
          <w:tcPr>
            <w:tcW w:w="850" w:type="dxa"/>
            <w:tcBorders>
              <w:top w:val="nil"/>
            </w:tcBorders>
          </w:tcPr>
          <w:p w:rsidR="00B0165C" w:rsidRDefault="00A81AA7">
            <w:pPr>
              <w:pStyle w:val="TAC"/>
              <w:rPr>
                <w:lang w:eastAsia="zh-CN"/>
              </w:rPr>
            </w:pPr>
            <w:r>
              <w:rPr>
                <w:rFonts w:hint="eastAsia"/>
                <w:lang w:eastAsia="zh-CN"/>
              </w:rPr>
              <w:t>X</w:t>
            </w:r>
          </w:p>
        </w:tc>
        <w:tc>
          <w:tcPr>
            <w:tcW w:w="851" w:type="dxa"/>
            <w:tcBorders>
              <w:top w:val="nil"/>
            </w:tcBorders>
          </w:tcPr>
          <w:p w:rsidR="00B0165C" w:rsidRDefault="00A81AA7">
            <w:pPr>
              <w:pStyle w:val="TAC"/>
              <w:rPr>
                <w:lang w:eastAsia="zh-CN"/>
              </w:rPr>
            </w:pPr>
            <w:r>
              <w:rPr>
                <w:rFonts w:hint="eastAsia"/>
                <w:lang w:eastAsia="zh-CN"/>
              </w:rPr>
              <w:t>X</w:t>
            </w:r>
          </w:p>
        </w:tc>
        <w:tc>
          <w:tcPr>
            <w:tcW w:w="1752" w:type="dxa"/>
            <w:tcBorders>
              <w:top w:val="nil"/>
            </w:tcBorders>
          </w:tcPr>
          <w:p w:rsidR="00B0165C" w:rsidRDefault="00B0165C">
            <w:pPr>
              <w:pStyle w:val="TAC"/>
            </w:pPr>
          </w:p>
        </w:tc>
      </w:tr>
      <w:tr w:rsidR="00B0165C">
        <w:trPr>
          <w:cantSplit/>
          <w:jc w:val="center"/>
        </w:trPr>
        <w:tc>
          <w:tcPr>
            <w:tcW w:w="1515" w:type="dxa"/>
            <w:tcBorders>
              <w:right w:val="single" w:sz="12" w:space="0" w:color="auto"/>
            </w:tcBorders>
          </w:tcPr>
          <w:p w:rsidR="00B0165C" w:rsidRDefault="00A81AA7">
            <w:pPr>
              <w:pStyle w:val="TAH"/>
            </w:pPr>
            <w:r>
              <w:t>No</w:t>
            </w:r>
          </w:p>
        </w:tc>
        <w:tc>
          <w:tcPr>
            <w:tcW w:w="1275" w:type="dxa"/>
            <w:tcBorders>
              <w:left w:val="nil"/>
            </w:tcBorders>
          </w:tcPr>
          <w:p w:rsidR="00B0165C" w:rsidRDefault="00B0165C">
            <w:pPr>
              <w:pStyle w:val="TAC"/>
            </w:pPr>
          </w:p>
        </w:tc>
        <w:tc>
          <w:tcPr>
            <w:tcW w:w="1037" w:type="dxa"/>
          </w:tcPr>
          <w:p w:rsidR="00B0165C" w:rsidRDefault="00B0165C">
            <w:pPr>
              <w:pStyle w:val="TAC"/>
            </w:pPr>
          </w:p>
        </w:tc>
        <w:tc>
          <w:tcPr>
            <w:tcW w:w="850" w:type="dxa"/>
          </w:tcPr>
          <w:p w:rsidR="00B0165C" w:rsidRDefault="00B0165C">
            <w:pPr>
              <w:pStyle w:val="TAC"/>
            </w:pPr>
          </w:p>
        </w:tc>
        <w:tc>
          <w:tcPr>
            <w:tcW w:w="851" w:type="dxa"/>
          </w:tcPr>
          <w:p w:rsidR="00B0165C" w:rsidRDefault="00B0165C">
            <w:pPr>
              <w:pStyle w:val="TAC"/>
            </w:pPr>
          </w:p>
        </w:tc>
        <w:tc>
          <w:tcPr>
            <w:tcW w:w="1752" w:type="dxa"/>
          </w:tcPr>
          <w:p w:rsidR="00B0165C" w:rsidRDefault="00B0165C">
            <w:pPr>
              <w:pStyle w:val="TAC"/>
            </w:pPr>
          </w:p>
        </w:tc>
      </w:tr>
      <w:tr w:rsidR="00B0165C">
        <w:trPr>
          <w:cantSplit/>
          <w:jc w:val="center"/>
        </w:trPr>
        <w:tc>
          <w:tcPr>
            <w:tcW w:w="1515" w:type="dxa"/>
            <w:tcBorders>
              <w:right w:val="single" w:sz="12" w:space="0" w:color="auto"/>
            </w:tcBorders>
          </w:tcPr>
          <w:p w:rsidR="00B0165C" w:rsidRDefault="00A81AA7">
            <w:pPr>
              <w:pStyle w:val="TAH"/>
            </w:pPr>
            <w:r>
              <w:t>Don't know</w:t>
            </w:r>
          </w:p>
        </w:tc>
        <w:tc>
          <w:tcPr>
            <w:tcW w:w="1275" w:type="dxa"/>
            <w:tcBorders>
              <w:left w:val="nil"/>
            </w:tcBorders>
          </w:tcPr>
          <w:p w:rsidR="00B0165C" w:rsidRDefault="00A81AA7">
            <w:pPr>
              <w:pStyle w:val="TAC"/>
              <w:rPr>
                <w:lang w:eastAsia="zh-CN"/>
              </w:rPr>
            </w:pPr>
            <w:r>
              <w:rPr>
                <w:rFonts w:hint="eastAsia"/>
                <w:lang w:eastAsia="zh-CN"/>
              </w:rPr>
              <w:t>X</w:t>
            </w:r>
          </w:p>
        </w:tc>
        <w:tc>
          <w:tcPr>
            <w:tcW w:w="1037" w:type="dxa"/>
          </w:tcPr>
          <w:p w:rsidR="00B0165C" w:rsidRDefault="00B0165C">
            <w:pPr>
              <w:pStyle w:val="TAC"/>
            </w:pPr>
          </w:p>
        </w:tc>
        <w:tc>
          <w:tcPr>
            <w:tcW w:w="850" w:type="dxa"/>
          </w:tcPr>
          <w:p w:rsidR="00B0165C" w:rsidRDefault="00B0165C">
            <w:pPr>
              <w:pStyle w:val="TAC"/>
            </w:pPr>
          </w:p>
        </w:tc>
        <w:tc>
          <w:tcPr>
            <w:tcW w:w="851" w:type="dxa"/>
          </w:tcPr>
          <w:p w:rsidR="00B0165C" w:rsidRDefault="00B0165C">
            <w:pPr>
              <w:pStyle w:val="TAC"/>
            </w:pPr>
          </w:p>
        </w:tc>
        <w:tc>
          <w:tcPr>
            <w:tcW w:w="1752" w:type="dxa"/>
          </w:tcPr>
          <w:p w:rsidR="00B0165C" w:rsidRDefault="00B0165C">
            <w:pPr>
              <w:pStyle w:val="TAC"/>
            </w:pPr>
          </w:p>
        </w:tc>
      </w:tr>
    </w:tbl>
    <w:p w:rsidR="00B0165C" w:rsidRDefault="00B0165C"/>
    <w:p w:rsidR="00B0165C" w:rsidRDefault="00A81AA7">
      <w:pPr>
        <w:pStyle w:val="1"/>
      </w:pPr>
      <w:r>
        <w:t>2</w:t>
      </w:r>
      <w:r>
        <w:tab/>
        <w:t>Classification of the Work Item and linked work items</w:t>
      </w:r>
    </w:p>
    <w:p w:rsidR="00B0165C" w:rsidRDefault="00A81AA7">
      <w:pPr>
        <w:pStyle w:val="2"/>
      </w:pPr>
      <w:r>
        <w:t>2.1</w:t>
      </w:r>
      <w:r>
        <w:tab/>
        <w:t>Primary classification</w:t>
      </w:r>
    </w:p>
    <w:p w:rsidR="00B0165C" w:rsidRDefault="00A81AA7">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0165C">
        <w:trPr>
          <w:cantSplit/>
          <w:jc w:val="center"/>
        </w:trPr>
        <w:tc>
          <w:tcPr>
            <w:tcW w:w="452" w:type="dxa"/>
          </w:tcPr>
          <w:p w:rsidR="00B0165C" w:rsidRDefault="00B0165C">
            <w:pPr>
              <w:pStyle w:val="TAC"/>
            </w:pPr>
          </w:p>
        </w:tc>
        <w:tc>
          <w:tcPr>
            <w:tcW w:w="2917" w:type="dxa"/>
            <w:shd w:val="clear" w:color="auto" w:fill="E0E0E0"/>
          </w:tcPr>
          <w:p w:rsidR="00B0165C" w:rsidRDefault="00A81AA7">
            <w:pPr>
              <w:pStyle w:val="TAH"/>
              <w:ind w:right="-99"/>
              <w:jc w:val="left"/>
              <w:rPr>
                <w:color w:val="0000FF"/>
              </w:rPr>
            </w:pPr>
            <w:r>
              <w:rPr>
                <w:color w:val="0000FF"/>
                <w:sz w:val="20"/>
              </w:rPr>
              <w:t>Feature</w:t>
            </w:r>
          </w:p>
        </w:tc>
      </w:tr>
      <w:tr w:rsidR="00B0165C">
        <w:trPr>
          <w:cantSplit/>
          <w:jc w:val="center"/>
        </w:trPr>
        <w:tc>
          <w:tcPr>
            <w:tcW w:w="452" w:type="dxa"/>
          </w:tcPr>
          <w:p w:rsidR="00B0165C" w:rsidRDefault="00B0165C">
            <w:pPr>
              <w:pStyle w:val="TAC"/>
            </w:pPr>
          </w:p>
        </w:tc>
        <w:tc>
          <w:tcPr>
            <w:tcW w:w="2917" w:type="dxa"/>
            <w:shd w:val="clear" w:color="auto" w:fill="E0E0E0"/>
            <w:tcMar>
              <w:left w:w="227" w:type="dxa"/>
            </w:tcMar>
          </w:tcPr>
          <w:p w:rsidR="00B0165C" w:rsidRDefault="00A81AA7">
            <w:pPr>
              <w:pStyle w:val="TAH"/>
              <w:ind w:right="-99"/>
              <w:jc w:val="left"/>
            </w:pPr>
            <w:r>
              <w:t>Building Block</w:t>
            </w:r>
          </w:p>
        </w:tc>
      </w:tr>
      <w:tr w:rsidR="00B0165C">
        <w:trPr>
          <w:cantSplit/>
          <w:jc w:val="center"/>
        </w:trPr>
        <w:tc>
          <w:tcPr>
            <w:tcW w:w="452" w:type="dxa"/>
          </w:tcPr>
          <w:p w:rsidR="00B0165C" w:rsidRDefault="00B0165C">
            <w:pPr>
              <w:pStyle w:val="TAC"/>
            </w:pPr>
          </w:p>
        </w:tc>
        <w:tc>
          <w:tcPr>
            <w:tcW w:w="2917" w:type="dxa"/>
            <w:shd w:val="clear" w:color="auto" w:fill="E0E0E0"/>
            <w:tcMar>
              <w:left w:w="397" w:type="dxa"/>
            </w:tcMar>
          </w:tcPr>
          <w:p w:rsidR="00B0165C" w:rsidRDefault="00A81AA7">
            <w:pPr>
              <w:pStyle w:val="TAH"/>
              <w:ind w:right="-99"/>
              <w:jc w:val="left"/>
              <w:rPr>
                <w:b w:val="0"/>
                <w:i/>
              </w:rPr>
            </w:pPr>
            <w:r>
              <w:rPr>
                <w:b w:val="0"/>
                <w:i/>
                <w:sz w:val="16"/>
              </w:rPr>
              <w:t>Work Task</w:t>
            </w:r>
          </w:p>
        </w:tc>
      </w:tr>
      <w:tr w:rsidR="00B0165C">
        <w:trPr>
          <w:cantSplit/>
          <w:jc w:val="center"/>
        </w:trPr>
        <w:tc>
          <w:tcPr>
            <w:tcW w:w="452" w:type="dxa"/>
          </w:tcPr>
          <w:p w:rsidR="00B0165C" w:rsidRDefault="00A81AA7">
            <w:pPr>
              <w:pStyle w:val="TAC"/>
              <w:rPr>
                <w:lang w:eastAsia="zh-CN"/>
              </w:rPr>
            </w:pPr>
            <w:r>
              <w:rPr>
                <w:rFonts w:hint="eastAsia"/>
                <w:lang w:eastAsia="zh-CN"/>
              </w:rPr>
              <w:t>X</w:t>
            </w:r>
          </w:p>
        </w:tc>
        <w:tc>
          <w:tcPr>
            <w:tcW w:w="2917" w:type="dxa"/>
            <w:shd w:val="clear" w:color="auto" w:fill="E0E0E0"/>
          </w:tcPr>
          <w:p w:rsidR="00B0165C" w:rsidRDefault="00A81AA7">
            <w:pPr>
              <w:pStyle w:val="TAH"/>
              <w:ind w:right="-99"/>
              <w:jc w:val="left"/>
              <w:rPr>
                <w:color w:val="0000FF"/>
              </w:rPr>
            </w:pPr>
            <w:r>
              <w:rPr>
                <w:color w:val="0000FF"/>
                <w:sz w:val="20"/>
              </w:rPr>
              <w:t>Study Item</w:t>
            </w:r>
          </w:p>
        </w:tc>
      </w:tr>
    </w:tbl>
    <w:p w:rsidR="00B0165C" w:rsidRDefault="00B0165C">
      <w:pPr>
        <w:ind w:right="-99"/>
        <w:rPr>
          <w:b/>
        </w:rPr>
      </w:pPr>
    </w:p>
    <w:p w:rsidR="00B0165C" w:rsidRDefault="00A81AA7">
      <w:pPr>
        <w:pStyle w:val="2"/>
      </w:pPr>
      <w:r>
        <w:t>2.2</w:t>
      </w:r>
      <w:r>
        <w:tab/>
        <w:t>Parent Work Item</w:t>
      </w:r>
    </w:p>
    <w:p w:rsidR="00B0165C" w:rsidRDefault="00B0165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0165C">
        <w:trPr>
          <w:cantSplit/>
          <w:jc w:val="center"/>
        </w:trPr>
        <w:tc>
          <w:tcPr>
            <w:tcW w:w="9313" w:type="dxa"/>
            <w:gridSpan w:val="4"/>
            <w:shd w:val="clear" w:color="auto" w:fill="E0E0E0"/>
          </w:tcPr>
          <w:p w:rsidR="00B0165C" w:rsidRDefault="00A81AA7">
            <w:pPr>
              <w:pStyle w:val="TAH"/>
              <w:ind w:right="-99"/>
              <w:jc w:val="left"/>
            </w:pPr>
            <w:r>
              <w:t xml:space="preserve">Parent Work / Study Items </w:t>
            </w:r>
          </w:p>
        </w:tc>
      </w:tr>
      <w:tr w:rsidR="00B0165C">
        <w:trPr>
          <w:cantSplit/>
          <w:jc w:val="center"/>
        </w:trPr>
        <w:tc>
          <w:tcPr>
            <w:tcW w:w="1101" w:type="dxa"/>
            <w:shd w:val="clear" w:color="auto" w:fill="E0E0E0"/>
          </w:tcPr>
          <w:p w:rsidR="00B0165C" w:rsidRDefault="00A81AA7">
            <w:pPr>
              <w:pStyle w:val="TAH"/>
              <w:ind w:right="-99"/>
              <w:jc w:val="left"/>
            </w:pPr>
            <w:r>
              <w:t>Acronym</w:t>
            </w:r>
          </w:p>
        </w:tc>
        <w:tc>
          <w:tcPr>
            <w:tcW w:w="1101" w:type="dxa"/>
            <w:shd w:val="clear" w:color="auto" w:fill="E0E0E0"/>
          </w:tcPr>
          <w:p w:rsidR="00B0165C" w:rsidRDefault="00A81AA7">
            <w:pPr>
              <w:pStyle w:val="TAH"/>
              <w:ind w:right="-99"/>
              <w:jc w:val="left"/>
            </w:pPr>
            <w:r>
              <w:t>Working Group</w:t>
            </w:r>
          </w:p>
        </w:tc>
        <w:tc>
          <w:tcPr>
            <w:tcW w:w="1101" w:type="dxa"/>
            <w:shd w:val="clear" w:color="auto" w:fill="E0E0E0"/>
          </w:tcPr>
          <w:p w:rsidR="00B0165C" w:rsidRDefault="00A81AA7">
            <w:pPr>
              <w:pStyle w:val="TAH"/>
              <w:ind w:right="-99"/>
              <w:jc w:val="left"/>
            </w:pPr>
            <w:r>
              <w:t>Unique ID</w:t>
            </w:r>
          </w:p>
        </w:tc>
        <w:tc>
          <w:tcPr>
            <w:tcW w:w="6010" w:type="dxa"/>
            <w:shd w:val="clear" w:color="auto" w:fill="E0E0E0"/>
          </w:tcPr>
          <w:p w:rsidR="00B0165C" w:rsidRDefault="00A81AA7">
            <w:pPr>
              <w:pStyle w:val="TAH"/>
              <w:ind w:right="-99"/>
              <w:jc w:val="left"/>
            </w:pPr>
            <w:r>
              <w:t>Title (as in 3GPP Work Plan)</w:t>
            </w:r>
          </w:p>
        </w:tc>
      </w:tr>
      <w:tr w:rsidR="00B0165C">
        <w:trPr>
          <w:cantSplit/>
          <w:jc w:val="center"/>
        </w:trPr>
        <w:tc>
          <w:tcPr>
            <w:tcW w:w="1101" w:type="dxa"/>
          </w:tcPr>
          <w:p w:rsidR="00B0165C" w:rsidRDefault="00B0165C">
            <w:pPr>
              <w:pStyle w:val="TAL"/>
            </w:pPr>
          </w:p>
        </w:tc>
        <w:tc>
          <w:tcPr>
            <w:tcW w:w="1101" w:type="dxa"/>
          </w:tcPr>
          <w:p w:rsidR="00B0165C" w:rsidRDefault="00B0165C">
            <w:pPr>
              <w:pStyle w:val="TAL"/>
            </w:pPr>
          </w:p>
        </w:tc>
        <w:tc>
          <w:tcPr>
            <w:tcW w:w="1101" w:type="dxa"/>
          </w:tcPr>
          <w:p w:rsidR="00B0165C" w:rsidRDefault="00B0165C">
            <w:pPr>
              <w:pStyle w:val="TAL"/>
            </w:pPr>
          </w:p>
        </w:tc>
        <w:tc>
          <w:tcPr>
            <w:tcW w:w="6010" w:type="dxa"/>
          </w:tcPr>
          <w:p w:rsidR="00B0165C" w:rsidRDefault="00B0165C">
            <w:pPr>
              <w:pStyle w:val="TAL"/>
            </w:pPr>
          </w:p>
        </w:tc>
      </w:tr>
    </w:tbl>
    <w:p w:rsidR="00B0165C" w:rsidRDefault="00B0165C"/>
    <w:p w:rsidR="00B0165C" w:rsidRDefault="00A81AA7">
      <w:pPr>
        <w:pStyle w:val="3"/>
      </w:pPr>
      <w:r>
        <w:t>2.3</w:t>
      </w:r>
      <w:r>
        <w:tab/>
        <w:t>Other related Work Items and dependencies</w:t>
      </w:r>
    </w:p>
    <w:p w:rsidR="00B0165C" w:rsidRDefault="00B0165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0165C">
        <w:trPr>
          <w:cantSplit/>
          <w:jc w:val="center"/>
        </w:trPr>
        <w:tc>
          <w:tcPr>
            <w:tcW w:w="9526" w:type="dxa"/>
            <w:gridSpan w:val="3"/>
            <w:shd w:val="clear" w:color="auto" w:fill="E0E0E0"/>
          </w:tcPr>
          <w:p w:rsidR="00B0165C" w:rsidRDefault="00A81AA7">
            <w:pPr>
              <w:pStyle w:val="TAH"/>
            </w:pPr>
            <w:r>
              <w:lastRenderedPageBreak/>
              <w:t>Other related Work /Study Items (if any)</w:t>
            </w:r>
          </w:p>
        </w:tc>
      </w:tr>
      <w:tr w:rsidR="00B0165C">
        <w:trPr>
          <w:cantSplit/>
          <w:jc w:val="center"/>
        </w:trPr>
        <w:tc>
          <w:tcPr>
            <w:tcW w:w="1101" w:type="dxa"/>
            <w:shd w:val="clear" w:color="auto" w:fill="E0E0E0"/>
          </w:tcPr>
          <w:p w:rsidR="00B0165C" w:rsidRDefault="00A81AA7">
            <w:pPr>
              <w:pStyle w:val="TAH"/>
            </w:pPr>
            <w:r>
              <w:t>Unique ID</w:t>
            </w:r>
          </w:p>
        </w:tc>
        <w:tc>
          <w:tcPr>
            <w:tcW w:w="3326" w:type="dxa"/>
            <w:shd w:val="clear" w:color="auto" w:fill="E0E0E0"/>
          </w:tcPr>
          <w:p w:rsidR="00B0165C" w:rsidRDefault="00A81AA7">
            <w:pPr>
              <w:pStyle w:val="TAH"/>
            </w:pPr>
            <w:r>
              <w:t>Title</w:t>
            </w:r>
          </w:p>
        </w:tc>
        <w:tc>
          <w:tcPr>
            <w:tcW w:w="5099" w:type="dxa"/>
            <w:shd w:val="clear" w:color="auto" w:fill="E0E0E0"/>
          </w:tcPr>
          <w:p w:rsidR="00B0165C" w:rsidRDefault="00A81AA7">
            <w:pPr>
              <w:pStyle w:val="TAH"/>
            </w:pPr>
            <w:r>
              <w:t>Nature of relationship</w:t>
            </w:r>
          </w:p>
        </w:tc>
      </w:tr>
      <w:tr w:rsidR="00B0165C">
        <w:trPr>
          <w:cantSplit/>
          <w:jc w:val="center"/>
        </w:trPr>
        <w:tc>
          <w:tcPr>
            <w:tcW w:w="1101" w:type="dxa"/>
          </w:tcPr>
          <w:p w:rsidR="00B0165C" w:rsidRDefault="00A81AA7">
            <w:pPr>
              <w:pStyle w:val="TAL"/>
            </w:pPr>
            <w:r>
              <w:t xml:space="preserve">770002 </w:t>
            </w:r>
          </w:p>
        </w:tc>
        <w:tc>
          <w:tcPr>
            <w:tcW w:w="3326" w:type="dxa"/>
          </w:tcPr>
          <w:p w:rsidR="00B0165C" w:rsidRDefault="00A81AA7">
            <w:pPr>
              <w:pStyle w:val="TAL"/>
            </w:pPr>
            <w:r>
              <w:rPr>
                <w:rFonts w:cs="Arial"/>
                <w:szCs w:val="18"/>
              </w:rPr>
              <w:t>Study on using Satellite Access in 5G</w:t>
            </w:r>
          </w:p>
        </w:tc>
        <w:tc>
          <w:tcPr>
            <w:tcW w:w="5099" w:type="dxa"/>
          </w:tcPr>
          <w:p w:rsidR="00B0165C" w:rsidRDefault="00A81AA7">
            <w:pPr>
              <w:pStyle w:val="Guidance"/>
            </w:pPr>
            <w:r>
              <w:rPr>
                <w:rFonts w:ascii="Arial" w:hAnsi="Arial" w:cs="Arial"/>
                <w:sz w:val="18"/>
                <w:szCs w:val="18"/>
              </w:rPr>
              <w:t>Previous Rel-1</w:t>
            </w:r>
            <w:r>
              <w:rPr>
                <w:rFonts w:ascii="Arial" w:eastAsia="宋体" w:hAnsi="Arial" w:cs="Arial" w:hint="eastAsia"/>
                <w:sz w:val="18"/>
                <w:szCs w:val="18"/>
              </w:rPr>
              <w:t>6</w:t>
            </w:r>
            <w:r>
              <w:rPr>
                <w:rFonts w:ascii="Arial" w:eastAsia="宋体" w:hAnsi="Arial" w:cs="Arial"/>
                <w:sz w:val="18"/>
                <w:szCs w:val="18"/>
              </w:rPr>
              <w:t xml:space="preserve"> </w:t>
            </w:r>
            <w:r>
              <w:rPr>
                <w:rFonts w:ascii="Arial" w:hAnsi="Arial" w:cs="Arial"/>
                <w:sz w:val="18"/>
                <w:szCs w:val="18"/>
              </w:rPr>
              <w:t xml:space="preserve">work covering </w:t>
            </w:r>
            <w:r>
              <w:rPr>
                <w:rFonts w:ascii="Arial" w:eastAsia="宋体" w:hAnsi="Arial" w:cs="Arial" w:hint="eastAsia"/>
                <w:sz w:val="18"/>
                <w:szCs w:val="18"/>
              </w:rPr>
              <w:t xml:space="preserve">satellite access in 5GS related </w:t>
            </w:r>
            <w:r>
              <w:rPr>
                <w:rFonts w:ascii="Arial" w:hAnsi="Arial" w:cs="Arial"/>
                <w:sz w:val="18"/>
                <w:szCs w:val="18"/>
              </w:rPr>
              <w:t>use cases and requirements (ref. T</w:t>
            </w:r>
            <w:r>
              <w:rPr>
                <w:rFonts w:ascii="Arial" w:eastAsia="宋体" w:hAnsi="Arial" w:cs="Arial" w:hint="eastAsia"/>
                <w:sz w:val="18"/>
                <w:szCs w:val="18"/>
              </w:rPr>
              <w:t>R22.822</w:t>
            </w:r>
            <w:r>
              <w:rPr>
                <w:rFonts w:ascii="Arial" w:hAnsi="Arial" w:cs="Arial"/>
                <w:sz w:val="18"/>
                <w:szCs w:val="18"/>
              </w:rPr>
              <w:t>:</w:t>
            </w:r>
            <w:r>
              <w:rPr>
                <w:rFonts w:ascii="Arial" w:eastAsia="宋体" w:hAnsi="Arial" w:cs="Arial" w:hint="eastAsia"/>
                <w:sz w:val="18"/>
                <w:szCs w:val="18"/>
              </w:rPr>
              <w:t xml:space="preserve"> </w:t>
            </w:r>
            <w:r>
              <w:rPr>
                <w:rFonts w:ascii="Arial" w:eastAsia="宋体" w:hAnsi="Arial" w:cs="Arial"/>
                <w:sz w:val="18"/>
                <w:szCs w:val="18"/>
              </w:rPr>
              <w:t>FS_5GSAT</w:t>
            </w:r>
            <w:r>
              <w:rPr>
                <w:rFonts w:ascii="Arial" w:hAnsi="Arial" w:cs="Arial"/>
                <w:sz w:val="18"/>
                <w:szCs w:val="18"/>
              </w:rPr>
              <w:t>)</w:t>
            </w:r>
          </w:p>
        </w:tc>
      </w:tr>
      <w:tr w:rsidR="00B0165C">
        <w:trPr>
          <w:cantSplit/>
          <w:jc w:val="center"/>
        </w:trPr>
        <w:tc>
          <w:tcPr>
            <w:tcW w:w="1101" w:type="dxa"/>
          </w:tcPr>
          <w:p w:rsidR="00B0165C" w:rsidRDefault="00A81AA7">
            <w:pPr>
              <w:pStyle w:val="TAL"/>
            </w:pPr>
            <w:r>
              <w:rPr>
                <w:rFonts w:hint="eastAsia"/>
              </w:rPr>
              <w:t>790001</w:t>
            </w:r>
          </w:p>
        </w:tc>
        <w:tc>
          <w:tcPr>
            <w:tcW w:w="3326" w:type="dxa"/>
          </w:tcPr>
          <w:p w:rsidR="00B0165C" w:rsidRDefault="00A81AA7">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099" w:type="dxa"/>
          </w:tcPr>
          <w:p w:rsidR="00B0165C" w:rsidRDefault="00A81AA7">
            <w:pPr>
              <w:pStyle w:val="Guidance"/>
            </w:pPr>
            <w:r>
              <w:rPr>
                <w:rFonts w:cs="Arial"/>
                <w:szCs w:val="18"/>
              </w:rPr>
              <w:t>Stage 1 work item</w:t>
            </w:r>
            <w:r>
              <w:rPr>
                <w:rFonts w:cs="Arial" w:hint="eastAsia"/>
                <w:szCs w:val="18"/>
              </w:rPr>
              <w:t xml:space="preserve"> of 5G system.</w:t>
            </w:r>
          </w:p>
        </w:tc>
      </w:tr>
      <w:tr w:rsidR="00B0165C">
        <w:trPr>
          <w:cantSplit/>
          <w:jc w:val="center"/>
        </w:trPr>
        <w:tc>
          <w:tcPr>
            <w:tcW w:w="1101" w:type="dxa"/>
          </w:tcPr>
          <w:p w:rsidR="00B0165C" w:rsidRDefault="00A81AA7">
            <w:pPr>
              <w:pStyle w:val="TAL"/>
            </w:pPr>
            <w:r>
              <w:t>720005</w:t>
            </w:r>
          </w:p>
        </w:tc>
        <w:tc>
          <w:tcPr>
            <w:tcW w:w="3326" w:type="dxa"/>
          </w:tcPr>
          <w:p w:rsidR="00B0165C" w:rsidRDefault="00A81AA7">
            <w:pPr>
              <w:pStyle w:val="TAL"/>
            </w:pPr>
            <w:r>
              <w:rPr>
                <w:rFonts w:cs="Arial"/>
                <w:szCs w:val="18"/>
              </w:rPr>
              <w:t>New Services and Markets Technology Enablers</w:t>
            </w:r>
          </w:p>
        </w:tc>
        <w:tc>
          <w:tcPr>
            <w:tcW w:w="5099" w:type="dxa"/>
          </w:tcPr>
          <w:p w:rsidR="00B0165C" w:rsidRDefault="00A81AA7">
            <w:pPr>
              <w:pStyle w:val="Guidance"/>
            </w:pPr>
            <w:r>
              <w:rPr>
                <w:rFonts w:cs="Arial"/>
                <w:szCs w:val="18"/>
              </w:rPr>
              <w:t>Stage 1 work item</w:t>
            </w:r>
            <w:r>
              <w:rPr>
                <w:rFonts w:cs="Arial" w:hint="eastAsia"/>
                <w:szCs w:val="18"/>
              </w:rPr>
              <w:t xml:space="preserve"> of 5G system</w:t>
            </w:r>
          </w:p>
        </w:tc>
      </w:tr>
      <w:tr w:rsidR="00B0165C">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B0165C" w:rsidRDefault="00A81AA7">
            <w:pPr>
              <w:pStyle w:val="TAL"/>
            </w:pPr>
            <w:r>
              <w:t>800010</w:t>
            </w:r>
          </w:p>
        </w:tc>
        <w:tc>
          <w:tcPr>
            <w:tcW w:w="3326" w:type="dxa"/>
            <w:tcBorders>
              <w:top w:val="single" w:sz="6" w:space="0" w:color="000000"/>
              <w:left w:val="single" w:sz="6" w:space="0" w:color="000000"/>
              <w:bottom w:val="single" w:sz="6" w:space="0" w:color="000000"/>
              <w:right w:val="single" w:sz="6" w:space="0" w:color="000000"/>
            </w:tcBorders>
          </w:tcPr>
          <w:p w:rsidR="00B0165C" w:rsidRDefault="00A81AA7">
            <w:pPr>
              <w:pStyle w:val="TAL"/>
              <w:rPr>
                <w:rFonts w:cs="Arial"/>
                <w:szCs w:val="18"/>
              </w:rPr>
            </w:pPr>
            <w:r>
              <w:rPr>
                <w:rFonts w:cs="Arial"/>
                <w:szCs w:val="18"/>
              </w:rPr>
              <w:t>Integration of Satellite Access in 5G</w:t>
            </w:r>
          </w:p>
        </w:tc>
        <w:tc>
          <w:tcPr>
            <w:tcW w:w="5099" w:type="dxa"/>
            <w:tcBorders>
              <w:top w:val="single" w:sz="6" w:space="0" w:color="000000"/>
              <w:left w:val="single" w:sz="6" w:space="0" w:color="000000"/>
              <w:bottom w:val="single" w:sz="6" w:space="0" w:color="000000"/>
              <w:right w:val="single" w:sz="6" w:space="0" w:color="000000"/>
            </w:tcBorders>
          </w:tcPr>
          <w:p w:rsidR="00B0165C" w:rsidRDefault="00A81AA7">
            <w:pPr>
              <w:pStyle w:val="Guidance"/>
              <w:rPr>
                <w:rFonts w:cs="Arial"/>
                <w:szCs w:val="18"/>
              </w:rPr>
            </w:pPr>
            <w:r>
              <w:rPr>
                <w:rFonts w:cs="Arial"/>
                <w:szCs w:val="18"/>
              </w:rPr>
              <w:t>The study will take into account stage-1 Normative Work on the support of satellite</w:t>
            </w:r>
          </w:p>
        </w:tc>
      </w:tr>
      <w:tr w:rsidR="00B0165C">
        <w:trPr>
          <w:cantSplit/>
          <w:jc w:val="center"/>
        </w:trPr>
        <w:tc>
          <w:tcPr>
            <w:tcW w:w="1101" w:type="dxa"/>
            <w:tcBorders>
              <w:top w:val="single" w:sz="6" w:space="0" w:color="000000"/>
              <w:left w:val="single" w:sz="6" w:space="0" w:color="000000"/>
              <w:bottom w:val="single" w:sz="6" w:space="0" w:color="000000"/>
              <w:right w:val="single" w:sz="6" w:space="0" w:color="000000"/>
            </w:tcBorders>
          </w:tcPr>
          <w:p w:rsidR="00B0165C" w:rsidRDefault="00A81AA7">
            <w:pPr>
              <w:pStyle w:val="TAL"/>
            </w:pPr>
            <w:r>
              <w:t>860005</w:t>
            </w:r>
          </w:p>
        </w:tc>
        <w:tc>
          <w:tcPr>
            <w:tcW w:w="3326" w:type="dxa"/>
            <w:tcBorders>
              <w:top w:val="single" w:sz="6" w:space="0" w:color="000000"/>
              <w:left w:val="single" w:sz="6" w:space="0" w:color="000000"/>
              <w:bottom w:val="single" w:sz="6" w:space="0" w:color="000000"/>
              <w:right w:val="single" w:sz="6" w:space="0" w:color="000000"/>
            </w:tcBorders>
          </w:tcPr>
          <w:p w:rsidR="00B0165C" w:rsidRDefault="00A81AA7">
            <w:pPr>
              <w:pStyle w:val="TAL"/>
              <w:rPr>
                <w:rFonts w:cs="Arial"/>
                <w:szCs w:val="18"/>
              </w:rPr>
            </w:pPr>
            <w:r>
              <w:rPr>
                <w:rFonts w:cs="Arial"/>
                <w:szCs w:val="18"/>
              </w:rPr>
              <w:t>Integration of satellite systems in the 5G architecture (5GSAT_ARCH)</w:t>
            </w:r>
          </w:p>
        </w:tc>
        <w:tc>
          <w:tcPr>
            <w:tcW w:w="5099" w:type="dxa"/>
            <w:tcBorders>
              <w:top w:val="single" w:sz="6" w:space="0" w:color="000000"/>
              <w:left w:val="single" w:sz="6" w:space="0" w:color="000000"/>
              <w:bottom w:val="single" w:sz="6" w:space="0" w:color="000000"/>
              <w:right w:val="single" w:sz="6" w:space="0" w:color="000000"/>
            </w:tcBorders>
          </w:tcPr>
          <w:p w:rsidR="00B0165C" w:rsidRDefault="00A81AA7">
            <w:pPr>
              <w:pStyle w:val="Guidance"/>
              <w:rPr>
                <w:rFonts w:cs="Arial"/>
                <w:szCs w:val="18"/>
              </w:rPr>
            </w:pPr>
            <w:r>
              <w:rPr>
                <w:rFonts w:cs="Arial"/>
                <w:szCs w:val="18"/>
              </w:rPr>
              <w:t>The study will take into account stage-2 Normative Work on the support of satellite</w:t>
            </w:r>
          </w:p>
        </w:tc>
      </w:tr>
    </w:tbl>
    <w:p w:rsidR="00B0165C" w:rsidRDefault="00B0165C">
      <w:pPr>
        <w:pStyle w:val="FP"/>
      </w:pPr>
    </w:p>
    <w:p w:rsidR="00B0165C" w:rsidRPr="003151D6" w:rsidRDefault="00A81AA7" w:rsidP="003151D6">
      <w:r>
        <w:rPr>
          <w:b/>
          <w:bCs/>
        </w:rPr>
        <w:t>Dependency on non-3GPP (draft) specification:</w:t>
      </w:r>
    </w:p>
    <w:p w:rsidR="00B0165C" w:rsidRDefault="00A81AA7">
      <w:pPr>
        <w:pStyle w:val="1"/>
      </w:pPr>
      <w:r>
        <w:t>3</w:t>
      </w:r>
      <w:r>
        <w:tab/>
        <w:t>Justification</w:t>
      </w:r>
    </w:p>
    <w:p w:rsidR="00B0165C" w:rsidRDefault="00A81AA7">
      <w:pPr>
        <w:spacing w:afterLines="50" w:after="120"/>
        <w:rPr>
          <w:bCs/>
          <w:lang w:eastAsia="zh-CN"/>
        </w:rPr>
      </w:pPr>
      <w:r>
        <w:rPr>
          <w:rFonts w:hint="eastAsia"/>
          <w:bCs/>
          <w:lang w:eastAsia="zh-CN"/>
        </w:rPr>
        <w:t xml:space="preserve">TS22.261 </w:t>
      </w:r>
      <w:r>
        <w:rPr>
          <w:bCs/>
          <w:lang w:eastAsia="zh-CN"/>
        </w:rPr>
        <w:t>ha</w:t>
      </w:r>
      <w:r>
        <w:rPr>
          <w:rFonts w:hint="eastAsia"/>
          <w:bCs/>
          <w:lang w:eastAsia="zh-CN"/>
        </w:rPr>
        <w:t xml:space="preserve">s some requirements for satellite access and satellite backhaul in </w:t>
      </w:r>
      <w:r>
        <w:rPr>
          <w:bCs/>
          <w:lang w:eastAsia="zh-CN"/>
        </w:rPr>
        <w:t xml:space="preserve">the </w:t>
      </w:r>
      <w:r>
        <w:rPr>
          <w:rFonts w:hint="eastAsia"/>
          <w:bCs/>
          <w:lang w:eastAsia="zh-CN"/>
        </w:rPr>
        <w:t>5G system.</w:t>
      </w:r>
      <w:r>
        <w:t xml:space="preserve"> </w:t>
      </w:r>
      <w:r>
        <w:rPr>
          <w:bCs/>
          <w:lang w:eastAsia="zh-CN"/>
        </w:rPr>
        <w:t>RAN WGs have defined satellite-enabled NG-RAN.</w:t>
      </w:r>
      <w:r>
        <w:rPr>
          <w:rFonts w:hint="eastAsia"/>
          <w:bCs/>
          <w:lang w:eastAsia="zh-CN"/>
        </w:rPr>
        <w:t xml:space="preserve"> </w:t>
      </w:r>
      <w:r>
        <w:rPr>
          <w:bCs/>
          <w:lang w:eastAsia="zh-CN"/>
        </w:rPr>
        <w:t>SA2 already enhanced 5G system architecture to support satellite-enabled RAN node and satellite backhaul on NG interface and is studying the case of UPF on GEO satellite.</w:t>
      </w:r>
      <w:r>
        <w:rPr>
          <w:rFonts w:hint="eastAsia"/>
          <w:bCs/>
          <w:lang w:eastAsia="zh-CN"/>
        </w:rPr>
        <w:t xml:space="preserve"> </w:t>
      </w:r>
    </w:p>
    <w:p w:rsidR="00B0165C" w:rsidRDefault="00A81AA7">
      <w:pPr>
        <w:spacing w:afterLines="50" w:after="120"/>
        <w:rPr>
          <w:bCs/>
          <w:lang w:eastAsia="zh-CN"/>
        </w:rPr>
      </w:pPr>
      <w:r>
        <w:rPr>
          <w:rFonts w:hint="eastAsia"/>
          <w:bCs/>
          <w:lang w:eastAsia="zh-CN"/>
        </w:rPr>
        <w:t xml:space="preserve">But some new </w:t>
      </w:r>
      <w:r>
        <w:rPr>
          <w:bCs/>
          <w:lang w:eastAsia="zh-CN"/>
        </w:rPr>
        <w:t>capabilities</w:t>
      </w:r>
      <w:r>
        <w:rPr>
          <w:rFonts w:hint="eastAsia"/>
          <w:bCs/>
          <w:lang w:eastAsia="zh-CN"/>
        </w:rPr>
        <w:t xml:space="preserve"> </w:t>
      </w:r>
      <w:r>
        <w:rPr>
          <w:bCs/>
          <w:lang w:eastAsia="zh-CN"/>
        </w:rPr>
        <w:t xml:space="preserve">should be addressed </w:t>
      </w:r>
      <w:r>
        <w:rPr>
          <w:rFonts w:hint="eastAsia"/>
          <w:bCs/>
          <w:lang w:eastAsia="zh-CN"/>
        </w:rPr>
        <w:t>in REL 19</w:t>
      </w:r>
      <w:r>
        <w:rPr>
          <w:bCs/>
          <w:lang w:eastAsia="zh-CN"/>
        </w:rPr>
        <w:t>:</w:t>
      </w:r>
    </w:p>
    <w:p w:rsidR="00B0165C" w:rsidRDefault="00A81AA7">
      <w:pPr>
        <w:pStyle w:val="ae"/>
        <w:numPr>
          <w:ilvl w:val="0"/>
          <w:numId w:val="1"/>
        </w:numPr>
        <w:spacing w:afterLines="50" w:after="120"/>
        <w:ind w:firstLineChars="0"/>
        <w:rPr>
          <w:bCs/>
          <w:lang w:eastAsia="zh-CN"/>
        </w:rPr>
      </w:pPr>
      <w:r>
        <w:rPr>
          <w:bCs/>
          <w:lang w:eastAsia="zh-CN"/>
        </w:rPr>
        <w:t>Connectivity of temporary satellite local CN</w:t>
      </w:r>
    </w:p>
    <w:p w:rsidR="00B0165C" w:rsidRDefault="00A81AA7">
      <w:pPr>
        <w:spacing w:afterLines="50" w:after="120"/>
        <w:rPr>
          <w:bCs/>
          <w:lang w:eastAsia="zh-CN"/>
        </w:rPr>
      </w:pPr>
      <w:r>
        <w:rPr>
          <w:bCs/>
          <w:lang w:eastAsia="zh-CN"/>
        </w:rPr>
        <w:t xml:space="preserve">As satellite can provide ubiquitous coverage, it is appropriated to be used to serve some special cases, e.g., scientific expeditions or mission critical services, etc., when a terrestrial network is not available. In such cases, the user, e.g., scientists, may need to set up a local data center for data storage, analytics, or retrieval locally. </w:t>
      </w:r>
    </w:p>
    <w:p w:rsidR="00B0165C" w:rsidRDefault="00A81AA7">
      <w:pPr>
        <w:spacing w:afterLines="50" w:after="120"/>
        <w:rPr>
          <w:bCs/>
          <w:lang w:eastAsia="zh-CN"/>
        </w:rPr>
      </w:pPr>
      <w:r>
        <w:rPr>
          <w:rFonts w:hint="eastAsia"/>
          <w:bCs/>
          <w:lang w:eastAsia="zh-CN"/>
        </w:rPr>
        <w:t xml:space="preserve">In this case, a local </w:t>
      </w:r>
      <w:r>
        <w:rPr>
          <w:bCs/>
          <w:lang w:eastAsia="zh-CN"/>
        </w:rPr>
        <w:t>network needs to be deployed and can connect to satellite network directly via a Gateway</w:t>
      </w:r>
      <w:r>
        <w:rPr>
          <w:rFonts w:hint="eastAsia"/>
          <w:bCs/>
          <w:lang w:eastAsia="zh-CN"/>
        </w:rPr>
        <w:t xml:space="preserve"> to allow the users to visit the local network directly via satellite, without going back to the core network deployed far away.</w:t>
      </w:r>
    </w:p>
    <w:p w:rsidR="00B0165C" w:rsidRPr="003151D6" w:rsidRDefault="00A81AA7">
      <w:pPr>
        <w:spacing w:afterLines="50" w:after="120"/>
        <w:rPr>
          <w:bCs/>
          <w:lang w:eastAsia="zh-CN"/>
        </w:rPr>
      </w:pPr>
      <w:r>
        <w:rPr>
          <w:bCs/>
          <w:lang w:eastAsia="zh-CN"/>
        </w:rPr>
        <w:t>Already 3GPP has defined features to support nomadic networks (without or with limited backhaul) in the context of Isolated E-UTRAN Operation for Public Safety (IOPS). Analysis of use cases may lead to additional service requirements possibly leading to adaptations of IOPS feature.</w:t>
      </w:r>
    </w:p>
    <w:p w:rsidR="00B0165C" w:rsidRDefault="00A81AA7">
      <w:pPr>
        <w:pStyle w:val="ae"/>
        <w:numPr>
          <w:ilvl w:val="0"/>
          <w:numId w:val="1"/>
        </w:numPr>
        <w:spacing w:afterLines="50" w:after="120"/>
        <w:ind w:firstLineChars="0"/>
        <w:rPr>
          <w:bCs/>
          <w:lang w:eastAsia="zh-CN"/>
        </w:rPr>
      </w:pPr>
      <w:r>
        <w:rPr>
          <w:bCs/>
          <w:lang w:eastAsia="zh-CN"/>
        </w:rPr>
        <w:t>Positioning and Navigation Enhancement for satellite access</w:t>
      </w:r>
    </w:p>
    <w:p w:rsidR="00B0165C" w:rsidRDefault="00A81AA7">
      <w:pPr>
        <w:rPr>
          <w:bCs/>
          <w:lang w:eastAsia="zh-CN"/>
        </w:rPr>
      </w:pPr>
      <w:r>
        <w:rPr>
          <w:bCs/>
          <w:lang w:eastAsia="zh-CN"/>
        </w:rPr>
        <w:t>For the support of regulated services (e.g. lawful intercept, emergency communications, public warning service) where Law enforcement apply, satellite access network shall be able to provide a “reliable” UE location (either network verified or network provided) in all operations modes (idle and connected).</w:t>
      </w:r>
    </w:p>
    <w:p w:rsidR="00B0165C" w:rsidRDefault="00A81AA7">
      <w:r>
        <w:t>Analysis of the regulatory requirements associated to these specific regulated services, will enable to define the targeted location performances (i.e. accuracy, latency, reliability).</w:t>
      </w:r>
    </w:p>
    <w:p w:rsidR="00B0165C" w:rsidRPr="003151D6" w:rsidRDefault="00A81AA7" w:rsidP="003151D6">
      <w:pPr>
        <w:rPr>
          <w:bCs/>
          <w:highlight w:val="yellow"/>
          <w:lang w:eastAsia="zh-CN"/>
        </w:rPr>
      </w:pPr>
      <w:r>
        <w:t xml:space="preserve">Identification of new service requirements (e.g. </w:t>
      </w:r>
      <w:r>
        <w:rPr>
          <w:rFonts w:hint="eastAsia"/>
          <w:lang w:eastAsia="zh-CN"/>
        </w:rPr>
        <w:t>r</w:t>
      </w:r>
      <w:r>
        <w:t>esource efficiency</w:t>
      </w:r>
      <w:r>
        <w:rPr>
          <w:rFonts w:hint="eastAsia"/>
          <w:lang w:eastAsia="zh-CN"/>
        </w:rPr>
        <w:t>, p</w:t>
      </w:r>
      <w:r>
        <w:rPr>
          <w:lang w:eastAsia="zh-CN"/>
        </w:rPr>
        <w:t>riority control)</w:t>
      </w:r>
      <w:r>
        <w:t xml:space="preserve"> related to several aspects among which network verified/based method, transmission of </w:t>
      </w:r>
      <w:r>
        <w:rPr>
          <w:bCs/>
          <w:lang w:eastAsia="zh-CN"/>
        </w:rPr>
        <w:t>navigation assistance information</w:t>
      </w:r>
      <w:r>
        <w:rPr>
          <w:lang w:eastAsia="zh-CN"/>
        </w:rPr>
        <w:t>.</w:t>
      </w:r>
    </w:p>
    <w:p w:rsidR="00B0165C" w:rsidRDefault="00A81AA7">
      <w:pPr>
        <w:pStyle w:val="ae"/>
        <w:numPr>
          <w:ilvl w:val="0"/>
          <w:numId w:val="1"/>
        </w:numPr>
        <w:spacing w:afterLines="50" w:after="120"/>
        <w:ind w:firstLineChars="0"/>
        <w:rPr>
          <w:bCs/>
          <w:lang w:eastAsia="zh-CN"/>
        </w:rPr>
      </w:pPr>
      <w:r>
        <w:rPr>
          <w:bCs/>
          <w:lang w:eastAsia="zh-CN"/>
        </w:rPr>
        <w:t xml:space="preserve">Prioritisation of satellite based transport network resources for high priority users </w:t>
      </w:r>
    </w:p>
    <w:p w:rsidR="00B0165C" w:rsidRDefault="00A81AA7">
      <w:pPr>
        <w:rPr>
          <w:bCs/>
          <w:lang w:eastAsia="zh-CN"/>
        </w:rPr>
      </w:pPr>
      <w:r>
        <w:rPr>
          <w:bCs/>
          <w:lang w:eastAsia="zh-CN"/>
        </w:rPr>
        <w:t>To ensure the necessary resources to high priority users, the 5G system shall endeavour to serve them first, i.e. reserving or even pre-empting not only radio resources on the local access network but at transport network level.</w:t>
      </w:r>
      <w:r>
        <w:rPr>
          <w:rFonts w:hint="eastAsia"/>
          <w:bCs/>
          <w:lang w:eastAsia="zh-CN"/>
        </w:rPr>
        <w:t xml:space="preserve"> </w:t>
      </w:r>
    </w:p>
    <w:p w:rsidR="00B0165C" w:rsidRPr="003151D6" w:rsidRDefault="00A81AA7" w:rsidP="003151D6">
      <w:pPr>
        <w:spacing w:afterLines="50" w:after="120"/>
        <w:rPr>
          <w:rFonts w:eastAsia="MS Mincho"/>
          <w:bCs/>
          <w:color w:val="auto"/>
        </w:rPr>
      </w:pPr>
      <w:r>
        <w:rPr>
          <w:bCs/>
          <w:color w:val="auto"/>
          <w:lang w:eastAsia="zh-CN"/>
        </w:rPr>
        <w:t>It is worth studying the use cases of using satellites as the transport network for 5G system and identify new requirements for satellite transport/backhaul services.</w:t>
      </w:r>
      <w:r>
        <w:rPr>
          <w:color w:val="auto"/>
          <w:sz w:val="22"/>
          <w:szCs w:val="22"/>
          <w:lang w:eastAsia="en-US"/>
        </w:rPr>
        <w:t xml:space="preserve"> </w:t>
      </w:r>
    </w:p>
    <w:p w:rsidR="00B0165C" w:rsidRDefault="00A81AA7">
      <w:pPr>
        <w:pStyle w:val="ae"/>
        <w:numPr>
          <w:ilvl w:val="0"/>
          <w:numId w:val="1"/>
        </w:numPr>
        <w:spacing w:afterLines="50" w:after="120"/>
        <w:ind w:firstLineChars="0"/>
        <w:rPr>
          <w:bCs/>
          <w:lang w:eastAsia="zh-CN"/>
        </w:rPr>
      </w:pPr>
      <w:r>
        <w:rPr>
          <w:bCs/>
          <w:lang w:eastAsia="zh-CN"/>
        </w:rPr>
        <w:t>Local Data Switching on satellite</w:t>
      </w:r>
    </w:p>
    <w:p w:rsidR="00B0165C" w:rsidRDefault="00A81AA7">
      <w:pPr>
        <w:spacing w:afterLines="50" w:after="120"/>
        <w:rPr>
          <w:bCs/>
          <w:lang w:eastAsia="zh-CN"/>
        </w:rPr>
      </w:pPr>
      <w:r>
        <w:rPr>
          <w:bCs/>
          <w:lang w:eastAsia="zh-CN"/>
        </w:rPr>
        <w:t xml:space="preserve">In some scenarios, two or a group of ships or cars may roam to places far from the territorial network and then need to communicate via satellite access. Whereas, if the data switching is deployed on the ground, the communication among members of this group will be subject to long delays and limited data rate because the communication data has to travel the feeder link twice. </w:t>
      </w:r>
    </w:p>
    <w:p w:rsidR="00B0165C" w:rsidRPr="003151D6" w:rsidRDefault="00A81AA7" w:rsidP="003151D6">
      <w:pPr>
        <w:spacing w:afterLines="50" w:after="120"/>
        <w:rPr>
          <w:bCs/>
          <w:lang w:eastAsia="zh-CN"/>
        </w:rPr>
      </w:pPr>
      <w:r>
        <w:rPr>
          <w:bCs/>
          <w:lang w:eastAsia="zh-CN"/>
        </w:rPr>
        <w:t xml:space="preserve">Support of local data switching (e.g. via CN) on-board would significantly reduce communication latency and </w:t>
      </w:r>
      <w:r>
        <w:rPr>
          <w:rFonts w:hint="eastAsia"/>
          <w:bCs/>
          <w:color w:val="auto"/>
          <w:lang w:eastAsia="zh-CN"/>
        </w:rPr>
        <w:t>avoid to use</w:t>
      </w:r>
      <w:r>
        <w:rPr>
          <w:bCs/>
          <w:color w:val="auto"/>
          <w:lang w:eastAsia="zh-CN"/>
        </w:rPr>
        <w:t xml:space="preserve"> </w:t>
      </w:r>
      <w:r>
        <w:rPr>
          <w:bCs/>
          <w:lang w:eastAsia="zh-CN"/>
        </w:rPr>
        <w:t>satellite backhaul</w:t>
      </w:r>
      <w:r>
        <w:rPr>
          <w:rFonts w:hint="eastAsia"/>
          <w:bCs/>
          <w:lang w:eastAsia="zh-CN"/>
        </w:rPr>
        <w:t xml:space="preserve">, </w:t>
      </w:r>
      <w:r>
        <w:t xml:space="preserve">Analysis of relevant use cases </w:t>
      </w:r>
      <w:r>
        <w:rPr>
          <w:rFonts w:hint="eastAsia"/>
          <w:lang w:eastAsia="zh-CN"/>
        </w:rPr>
        <w:t>may</w:t>
      </w:r>
      <w:r>
        <w:t xml:space="preserve"> lead to additional </w:t>
      </w:r>
      <w:r>
        <w:rPr>
          <w:rFonts w:hint="eastAsia"/>
          <w:bCs/>
          <w:lang w:eastAsia="zh-CN"/>
        </w:rPr>
        <w:t xml:space="preserve">service requirements </w:t>
      </w:r>
      <w:r>
        <w:rPr>
          <w:bCs/>
          <w:lang w:eastAsia="zh-CN"/>
        </w:rPr>
        <w:t>for</w:t>
      </w:r>
      <w:r>
        <w:rPr>
          <w:rFonts w:hint="eastAsia"/>
          <w:bCs/>
          <w:lang w:eastAsia="zh-CN"/>
        </w:rPr>
        <w:t xml:space="preserve"> efficient user plane</w:t>
      </w:r>
      <w:r>
        <w:rPr>
          <w:bCs/>
          <w:lang w:eastAsia="zh-CN"/>
        </w:rPr>
        <w:t xml:space="preserve">. </w:t>
      </w:r>
    </w:p>
    <w:p w:rsidR="00B0165C" w:rsidRDefault="00A81AA7">
      <w:pPr>
        <w:pStyle w:val="ae"/>
        <w:numPr>
          <w:ilvl w:val="0"/>
          <w:numId w:val="1"/>
        </w:numPr>
        <w:spacing w:afterLines="50" w:after="120"/>
        <w:ind w:firstLineChars="0"/>
        <w:rPr>
          <w:bCs/>
          <w:lang w:eastAsia="zh-CN"/>
        </w:rPr>
      </w:pPr>
      <w:r>
        <w:t>GNSS free operation</w:t>
      </w:r>
    </w:p>
    <w:p w:rsidR="00B0165C" w:rsidRDefault="00A81AA7">
      <w:pPr>
        <w:spacing w:afterLines="50" w:after="120"/>
        <w:jc w:val="both"/>
      </w:pPr>
      <w:r>
        <w:lastRenderedPageBreak/>
        <w:t xml:space="preserve">Currently, 3GPP satellite access assumes that User Equipment rely on GNSS and service. However, many UEs do not implement GNSS receiver or cannot use it in different contexts. </w:t>
      </w:r>
    </w:p>
    <w:p w:rsidR="00B0165C" w:rsidRDefault="00A81AA7">
      <w:pPr>
        <w:overflowPunct/>
        <w:autoSpaceDE/>
        <w:autoSpaceDN/>
        <w:adjustRightInd/>
        <w:spacing w:after="0"/>
        <w:textAlignment w:val="auto"/>
        <w:rPr>
          <w:rFonts w:eastAsia="Times New Roman"/>
          <w:color w:val="auto"/>
          <w:sz w:val="24"/>
          <w:szCs w:val="24"/>
          <w:lang w:val="en-US" w:eastAsia="en-US"/>
        </w:rPr>
      </w:pPr>
      <w:r>
        <w:t>Support of GNSS free operation would allow to provide satellite access to UE without GNSS receiver or with no access to GNSS service in particular to support vertical (e.g. IoT) and other usages (e.g. MBB for videosurveillance).</w:t>
      </w:r>
    </w:p>
    <w:p w:rsidR="00B0165C" w:rsidRPr="003151D6" w:rsidRDefault="00A81AA7" w:rsidP="003151D6">
      <w:pPr>
        <w:spacing w:afterLines="50" w:after="120"/>
        <w:jc w:val="both"/>
        <w:rPr>
          <w:rFonts w:eastAsia="MS Mincho"/>
        </w:rPr>
      </w:pPr>
      <w:r>
        <w:t xml:space="preserve">Analysis of use cases </w:t>
      </w:r>
      <w:r>
        <w:rPr>
          <w:rFonts w:hint="eastAsia"/>
          <w:lang w:eastAsia="zh-CN"/>
        </w:rPr>
        <w:t>may</w:t>
      </w:r>
      <w:r>
        <w:t xml:space="preserve"> lead to additional service requirements related to several aspects among which permission, authorization and access control.</w:t>
      </w:r>
    </w:p>
    <w:p w:rsidR="00B0165C" w:rsidRDefault="00A81AA7">
      <w:pPr>
        <w:pStyle w:val="ae"/>
        <w:numPr>
          <w:ilvl w:val="0"/>
          <w:numId w:val="1"/>
        </w:numPr>
        <w:spacing w:afterLines="50" w:after="120"/>
        <w:ind w:firstLineChars="0"/>
        <w:rPr>
          <w:bCs/>
          <w:lang w:eastAsia="zh-CN"/>
        </w:rPr>
      </w:pPr>
      <w:r>
        <w:rPr>
          <w:bCs/>
          <w:lang w:eastAsia="zh-CN"/>
        </w:rPr>
        <w:t>Traffic scheduling between multi-RAT (terrestrial and satellite access network/multi orbit).</w:t>
      </w:r>
    </w:p>
    <w:p w:rsidR="00B0165C" w:rsidRDefault="00A81AA7">
      <w:pPr>
        <w:rPr>
          <w:bCs/>
          <w:lang w:eastAsia="zh-CN"/>
        </w:rPr>
      </w:pPr>
      <w:r>
        <w:rPr>
          <w:bCs/>
          <w:lang w:eastAsia="zh-CN"/>
        </w:rPr>
        <w:t>A given UE may have access simultaneously to several RAT each associated to a terrestrial access or a satellite access (at different orbit such as GEO, MEO, LEO or HEO). Each radio access can be characterized with a latency, bandwidth, throughput capabilities, requirements on UE capabilities, UE power consumption, as well as billing policy.</w:t>
      </w:r>
    </w:p>
    <w:p w:rsidR="00B0165C" w:rsidRDefault="00A81AA7">
      <w:pPr>
        <w:rPr>
          <w:bCs/>
          <w:lang w:eastAsia="zh-CN"/>
        </w:rPr>
      </w:pPr>
      <w:r>
        <w:rPr>
          <w:bCs/>
          <w:lang w:eastAsia="zh-CN"/>
        </w:rPr>
        <w:t>Using multiple RAT, may enable to optimiuse the Quality of Experience (e.g. perceived latency), reliability and/or increase bandwidth.</w:t>
      </w:r>
    </w:p>
    <w:p w:rsidR="00B0165C" w:rsidRPr="003151D6" w:rsidRDefault="00A81AA7">
      <w:pPr>
        <w:rPr>
          <w:bCs/>
          <w:lang w:eastAsia="zh-CN"/>
        </w:rPr>
      </w:pPr>
      <w:r>
        <w:rPr>
          <w:bCs/>
          <w:lang w:eastAsia="zh-CN"/>
        </w:rPr>
        <w:t>Analysis of relevant use cases may lead to additional service requirements (e.g. criteria) for traffic scheduling across multiple RAT (including satellite).</w:t>
      </w:r>
    </w:p>
    <w:p w:rsidR="00B0165C" w:rsidRDefault="00A81AA7">
      <w:pPr>
        <w:pStyle w:val="1"/>
      </w:pPr>
      <w:r>
        <w:t>4</w:t>
      </w:r>
      <w:r>
        <w:tab/>
        <w:t>Objective</w:t>
      </w:r>
    </w:p>
    <w:p w:rsidR="00B0165C" w:rsidRDefault="00A81AA7">
      <w:pPr>
        <w:spacing w:afterLines="50" w:after="120"/>
        <w:jc w:val="both"/>
      </w:pPr>
      <w:r>
        <w:t xml:space="preserve">The objectives of this study </w:t>
      </w:r>
      <w:r>
        <w:rPr>
          <w:rFonts w:hint="eastAsia"/>
        </w:rPr>
        <w:t>are</w:t>
      </w:r>
      <w:r>
        <w:t xml:space="preserve"> to study for each new capabilities the use cases </w:t>
      </w:r>
      <w:r>
        <w:rPr>
          <w:rFonts w:hint="eastAsia"/>
          <w:lang w:eastAsia="zh-CN"/>
        </w:rPr>
        <w:t xml:space="preserve">and </w:t>
      </w:r>
      <w:r>
        <w:rPr>
          <w:lang w:eastAsia="zh-CN"/>
        </w:rPr>
        <w:t xml:space="preserve">related regulatory </w:t>
      </w:r>
      <w:r>
        <w:rPr>
          <w:rFonts w:hint="eastAsia"/>
          <w:lang w:eastAsia="zh-CN"/>
        </w:rPr>
        <w:t xml:space="preserve">requirements </w:t>
      </w:r>
      <w:r>
        <w:rPr>
          <w:lang w:eastAsia="zh-CN"/>
        </w:rPr>
        <w:t xml:space="preserve">and identify </w:t>
      </w:r>
      <w:r>
        <w:rPr>
          <w:rFonts w:hint="eastAsia"/>
        </w:rPr>
        <w:t xml:space="preserve">new </w:t>
      </w:r>
      <w:r>
        <w:t xml:space="preserve">service requirements </w:t>
      </w:r>
      <w:r>
        <w:rPr>
          <w:rFonts w:hint="eastAsia"/>
        </w:rPr>
        <w:t>and</w:t>
      </w:r>
      <w:r>
        <w:t xml:space="preserve"> enhancement</w:t>
      </w:r>
      <w:r>
        <w:rPr>
          <w:rFonts w:hint="eastAsia"/>
        </w:rPr>
        <w:t xml:space="preserve"> </w:t>
      </w:r>
      <w:r>
        <w:t>for</w:t>
      </w:r>
      <w:r>
        <w:rPr>
          <w:rFonts w:hint="eastAsia"/>
        </w:rPr>
        <w:t xml:space="preserve"> </w:t>
      </w:r>
      <w:r>
        <w:t xml:space="preserve">5G </w:t>
      </w:r>
      <w:r>
        <w:rPr>
          <w:rFonts w:hint="eastAsia"/>
        </w:rPr>
        <w:t>system over satellite</w:t>
      </w:r>
      <w:r>
        <w:t>:</w:t>
      </w:r>
    </w:p>
    <w:p w:rsidR="00B0165C" w:rsidRDefault="00A81AA7" w:rsidP="009F6A95">
      <w:pPr>
        <w:pStyle w:val="B2"/>
        <w:numPr>
          <w:ilvl w:val="0"/>
          <w:numId w:val="4"/>
        </w:numPr>
        <w:rPr>
          <w:lang w:eastAsia="zh-CN"/>
        </w:rPr>
      </w:pPr>
      <w:r>
        <w:t xml:space="preserve">Connectivity of Temporary local CN </w:t>
      </w:r>
      <w:r>
        <w:rPr>
          <w:rFonts w:hint="eastAsia"/>
          <w:lang w:eastAsia="zh-CN"/>
        </w:rPr>
        <w:t>using</w:t>
      </w:r>
      <w:r>
        <w:rPr>
          <w:lang w:eastAsia="zh-CN"/>
        </w:rPr>
        <w:t xml:space="preserve"> </w:t>
      </w:r>
      <w:r>
        <w:rPr>
          <w:rFonts w:hint="eastAsia"/>
          <w:lang w:eastAsia="zh-CN"/>
        </w:rPr>
        <w:t xml:space="preserve">satellite </w:t>
      </w:r>
      <w:r>
        <w:rPr>
          <w:lang w:eastAsia="zh-CN"/>
        </w:rPr>
        <w:t>network</w:t>
      </w:r>
      <w:r>
        <w:rPr>
          <w:rFonts w:hint="eastAsia"/>
          <w:lang w:eastAsia="zh-CN"/>
        </w:rPr>
        <w:t>;</w:t>
      </w:r>
    </w:p>
    <w:p w:rsidR="00B0165C" w:rsidRDefault="00A81AA7" w:rsidP="009F6A95">
      <w:pPr>
        <w:pStyle w:val="B2"/>
        <w:numPr>
          <w:ilvl w:val="1"/>
          <w:numId w:val="4"/>
        </w:numPr>
        <w:rPr>
          <w:lang w:eastAsia="zh-CN"/>
        </w:rPr>
      </w:pPr>
      <w:r w:rsidRPr="009F6A95">
        <w:t>Gap</w:t>
      </w:r>
      <w:r>
        <w:rPr>
          <w:lang w:val="en-US" w:eastAsia="zh-CN"/>
        </w:rPr>
        <w:t xml:space="preserve"> analysis on Isolated Operation for Public Safety feature (IOPS) capability</w:t>
      </w:r>
    </w:p>
    <w:p w:rsidR="00B0165C" w:rsidRDefault="00A81AA7" w:rsidP="009F6A95">
      <w:pPr>
        <w:pStyle w:val="B2"/>
        <w:numPr>
          <w:ilvl w:val="0"/>
          <w:numId w:val="4"/>
        </w:numPr>
        <w:rPr>
          <w:bCs/>
          <w:lang w:eastAsia="zh-CN"/>
        </w:rPr>
      </w:pPr>
      <w:r>
        <w:rPr>
          <w:bCs/>
          <w:lang w:eastAsia="zh-CN"/>
        </w:rPr>
        <w:t>Positioning and Navigation Enhancement</w:t>
      </w:r>
      <w:r>
        <w:rPr>
          <w:rFonts w:hint="eastAsia"/>
        </w:rPr>
        <w:t>;</w:t>
      </w:r>
      <w:r>
        <w:rPr>
          <w:rFonts w:hint="eastAsia"/>
          <w:bCs/>
          <w:lang w:eastAsia="zh-CN"/>
        </w:rPr>
        <w:t xml:space="preserve"> </w:t>
      </w:r>
    </w:p>
    <w:p w:rsidR="00B0165C" w:rsidRDefault="00A81AA7" w:rsidP="009F6A95">
      <w:pPr>
        <w:pStyle w:val="B2"/>
        <w:numPr>
          <w:ilvl w:val="1"/>
          <w:numId w:val="4"/>
        </w:numPr>
        <w:rPr>
          <w:lang w:eastAsia="zh-CN"/>
        </w:rPr>
      </w:pPr>
      <w:r>
        <w:rPr>
          <w:lang w:eastAsia="zh-CN"/>
        </w:rPr>
        <w:t>Find the gap between existing positioning requirements for terrestrial access and the requirements that can be satisfied via NTN access, and then determine appropriate KPIs.</w:t>
      </w:r>
    </w:p>
    <w:p w:rsidR="00B0165C" w:rsidRDefault="00A81AA7" w:rsidP="009F6A95">
      <w:pPr>
        <w:pStyle w:val="B2"/>
        <w:numPr>
          <w:ilvl w:val="1"/>
          <w:numId w:val="4"/>
        </w:numPr>
        <w:rPr>
          <w:lang w:val="en-US" w:eastAsia="zh-CN"/>
        </w:rPr>
      </w:pPr>
      <w:r>
        <w:rPr>
          <w:lang w:eastAsia="zh-CN"/>
        </w:rPr>
        <w:t>S</w:t>
      </w:r>
      <w:r>
        <w:t xml:space="preserve">tudy </w:t>
      </w:r>
      <w:r>
        <w:rPr>
          <w:lang w:eastAsia="zh-CN"/>
        </w:rPr>
        <w:t xml:space="preserve">new </w:t>
      </w:r>
      <w:r>
        <w:rPr>
          <w:rFonts w:hint="eastAsia"/>
          <w:lang w:eastAsia="zh-CN"/>
        </w:rPr>
        <w:t xml:space="preserve">use cases </w:t>
      </w:r>
      <w:r>
        <w:rPr>
          <w:lang w:eastAsia="zh-CN"/>
        </w:rPr>
        <w:t>(including positioning assistance) and potential new KPIs e.g. on position</w:t>
      </w:r>
      <w:r>
        <w:rPr>
          <w:rFonts w:hint="eastAsia"/>
          <w:lang w:eastAsia="zh-CN"/>
        </w:rPr>
        <w:t xml:space="preserve"> accuracy</w:t>
      </w:r>
      <w:r>
        <w:rPr>
          <w:lang w:eastAsia="zh-CN"/>
        </w:rPr>
        <w:t xml:space="preserve">, reliability, latency. </w:t>
      </w:r>
    </w:p>
    <w:p w:rsidR="00B0165C" w:rsidRDefault="00A81AA7" w:rsidP="009F6A95">
      <w:pPr>
        <w:pStyle w:val="B2"/>
        <w:numPr>
          <w:ilvl w:val="1"/>
          <w:numId w:val="4"/>
        </w:numPr>
        <w:rPr>
          <w:lang w:eastAsia="zh-CN"/>
        </w:rPr>
      </w:pPr>
      <w:r>
        <w:rPr>
          <w:lang w:val="en-US" w:eastAsia="zh-CN"/>
        </w:rPr>
        <w:t>Study relevant regulatory requirements if any.</w:t>
      </w:r>
      <w:r>
        <w:rPr>
          <w:lang w:eastAsia="zh-CN"/>
        </w:rPr>
        <w:t xml:space="preserve"> </w:t>
      </w:r>
    </w:p>
    <w:p w:rsidR="00B0165C" w:rsidRDefault="00A81AA7" w:rsidP="009F6A95">
      <w:pPr>
        <w:pStyle w:val="B2"/>
        <w:numPr>
          <w:ilvl w:val="0"/>
          <w:numId w:val="4"/>
        </w:numPr>
        <w:rPr>
          <w:bCs/>
          <w:lang w:eastAsia="zh-CN"/>
        </w:rPr>
      </w:pPr>
      <w:r>
        <w:rPr>
          <w:bCs/>
          <w:lang w:eastAsia="zh-CN"/>
        </w:rPr>
        <w:t>Prioritisation of satellite based transport network resources for high priority users</w:t>
      </w:r>
      <w:r>
        <w:rPr>
          <w:rFonts w:hint="eastAsia"/>
          <w:bCs/>
          <w:lang w:eastAsia="zh-CN"/>
        </w:rPr>
        <w:t>;</w:t>
      </w:r>
    </w:p>
    <w:p w:rsidR="00B0165C" w:rsidRDefault="00A81AA7" w:rsidP="009F6A95">
      <w:pPr>
        <w:pStyle w:val="B2"/>
        <w:numPr>
          <w:ilvl w:val="1"/>
          <w:numId w:val="4"/>
        </w:numPr>
        <w:rPr>
          <w:lang w:val="en-US" w:eastAsia="zh-CN"/>
        </w:rPr>
      </w:pPr>
      <w:r>
        <w:rPr>
          <w:lang w:val="en-US" w:eastAsia="zh-CN"/>
        </w:rPr>
        <w:t>Cooperation between 5G system and satellite based transport networks to satisfy service requirements, e.g., QoS requirement for data transmission considering the particularity of satellite communications, such as dynamical space network topology, the uncertainty of inter-satellite link transmission, etc.</w:t>
      </w:r>
    </w:p>
    <w:p w:rsidR="00B0165C" w:rsidRPr="003151D6" w:rsidRDefault="00A81AA7" w:rsidP="009F6A95">
      <w:pPr>
        <w:pStyle w:val="B2"/>
        <w:numPr>
          <w:ilvl w:val="0"/>
          <w:numId w:val="4"/>
        </w:numPr>
        <w:rPr>
          <w:lang w:eastAsia="zh-CN"/>
        </w:rPr>
      </w:pPr>
      <w:r>
        <w:rPr>
          <w:bCs/>
          <w:lang w:eastAsia="zh-CN"/>
        </w:rPr>
        <w:t>Local Data Switching (e.g. via CN) on satellite for UEs in a communication</w:t>
      </w:r>
      <w:r>
        <w:rPr>
          <w:lang w:eastAsia="zh-CN"/>
        </w:rPr>
        <w:t>.</w:t>
      </w:r>
    </w:p>
    <w:p w:rsidR="00B0165C" w:rsidRDefault="00A81AA7" w:rsidP="009F6A95">
      <w:pPr>
        <w:pStyle w:val="B2"/>
        <w:numPr>
          <w:ilvl w:val="0"/>
          <w:numId w:val="4"/>
        </w:numPr>
      </w:pPr>
      <w:r>
        <w:t>GNSS free operation;</w:t>
      </w:r>
    </w:p>
    <w:p w:rsidR="00B0165C" w:rsidRDefault="00A81AA7" w:rsidP="009F6A95">
      <w:pPr>
        <w:pStyle w:val="B2"/>
        <w:numPr>
          <w:ilvl w:val="1"/>
          <w:numId w:val="4"/>
        </w:numPr>
        <w:rPr>
          <w:lang w:eastAsia="zh-CN"/>
        </w:rPr>
      </w:pPr>
      <w:r>
        <w:rPr>
          <w:lang w:eastAsia="zh-CN"/>
        </w:rPr>
        <w:t>Support of GNSS free operation would allow to provide satellite access to UE without GNSS receiver or with no access to GNSS service for IoT and MBB devices.</w:t>
      </w:r>
    </w:p>
    <w:p w:rsidR="00B0165C" w:rsidRDefault="00A81AA7" w:rsidP="009F6A95">
      <w:pPr>
        <w:pStyle w:val="B2"/>
        <w:numPr>
          <w:ilvl w:val="0"/>
          <w:numId w:val="4"/>
        </w:numPr>
        <w:rPr>
          <w:lang w:eastAsia="zh-CN"/>
        </w:rPr>
      </w:pPr>
      <w:r w:rsidRPr="009F6A95">
        <w:rPr>
          <w:bCs/>
          <w:lang w:eastAsia="zh-CN"/>
        </w:rPr>
        <w:t>Traffic</w:t>
      </w:r>
      <w:r>
        <w:rPr>
          <w:lang w:eastAsia="zh-CN"/>
        </w:rPr>
        <w:t xml:space="preserve"> scheduling between multiple-RAT (terrestrial and satellite access network/multi orbit).</w:t>
      </w:r>
    </w:p>
    <w:p w:rsidR="00B0165C" w:rsidRDefault="00A81AA7" w:rsidP="009F6A95">
      <w:pPr>
        <w:pStyle w:val="B2"/>
        <w:numPr>
          <w:ilvl w:val="1"/>
          <w:numId w:val="4"/>
        </w:numPr>
        <w:rPr>
          <w:lang w:val="en-US" w:eastAsia="zh-CN"/>
        </w:rPr>
      </w:pPr>
      <w:r>
        <w:rPr>
          <w:lang w:val="en-US" w:eastAsia="zh-CN"/>
        </w:rPr>
        <w:t xml:space="preserve">Study </w:t>
      </w:r>
      <w:r>
        <w:rPr>
          <w:rFonts w:hint="eastAsia"/>
          <w:lang w:val="en-US" w:eastAsia="zh-CN"/>
        </w:rPr>
        <w:t>t</w:t>
      </w:r>
      <w:r>
        <w:rPr>
          <w:lang w:val="en-US" w:eastAsia="zh-CN"/>
        </w:rPr>
        <w:t>raffic scheduling between multiple RAT among which multiple orbit satellite access (e.g. GEO, MEO, LEO, HEO) as well as with “terrestrial” access technologies</w:t>
      </w:r>
      <w:r>
        <w:rPr>
          <w:lang w:val="en-US" w:eastAsia="zh-CN"/>
        </w:rPr>
        <w:br/>
        <w:t>Note: this objective does not intend to cover ATSSS steering requirements or functionalities"</w:t>
      </w:r>
    </w:p>
    <w:p w:rsidR="00B0165C" w:rsidRDefault="00A81AA7">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0165C">
        <w:trPr>
          <w:cantSplit/>
          <w:jc w:val="center"/>
        </w:trPr>
        <w:tc>
          <w:tcPr>
            <w:tcW w:w="9413" w:type="dxa"/>
            <w:gridSpan w:val="6"/>
            <w:shd w:val="clear" w:color="auto" w:fill="D9D9D9"/>
            <w:tcMar>
              <w:left w:w="57" w:type="dxa"/>
              <w:right w:w="57" w:type="dxa"/>
            </w:tcMar>
          </w:tcPr>
          <w:p w:rsidR="00B0165C" w:rsidRDefault="00A81AA7">
            <w:pPr>
              <w:pStyle w:val="TAH"/>
            </w:pPr>
            <w:r>
              <w:t>New specifications {One line per specification. Create/delete lines as needed}</w:t>
            </w:r>
          </w:p>
        </w:tc>
      </w:tr>
      <w:tr w:rsidR="00B0165C">
        <w:trPr>
          <w:cantSplit/>
          <w:jc w:val="center"/>
        </w:trPr>
        <w:tc>
          <w:tcPr>
            <w:tcW w:w="1617" w:type="dxa"/>
            <w:shd w:val="clear" w:color="auto" w:fill="D9D9D9"/>
            <w:tcMar>
              <w:left w:w="57" w:type="dxa"/>
              <w:right w:w="57" w:type="dxa"/>
            </w:tcMar>
          </w:tcPr>
          <w:p w:rsidR="00B0165C" w:rsidRDefault="00A81AA7">
            <w:pPr>
              <w:pStyle w:val="TAH"/>
            </w:pPr>
            <w:r>
              <w:t xml:space="preserve">Type </w:t>
            </w:r>
          </w:p>
        </w:tc>
        <w:tc>
          <w:tcPr>
            <w:tcW w:w="1134" w:type="dxa"/>
            <w:shd w:val="clear" w:color="auto" w:fill="D9D9D9"/>
            <w:tcMar>
              <w:left w:w="57" w:type="dxa"/>
              <w:right w:w="57" w:type="dxa"/>
            </w:tcMar>
          </w:tcPr>
          <w:p w:rsidR="00B0165C" w:rsidRDefault="00A81AA7">
            <w:pPr>
              <w:pStyle w:val="TAH"/>
            </w:pPr>
            <w:r>
              <w:t>TS/TR number</w:t>
            </w:r>
          </w:p>
        </w:tc>
        <w:tc>
          <w:tcPr>
            <w:tcW w:w="2409" w:type="dxa"/>
            <w:shd w:val="clear" w:color="auto" w:fill="D9D9D9"/>
            <w:tcMar>
              <w:left w:w="57" w:type="dxa"/>
              <w:right w:w="57" w:type="dxa"/>
            </w:tcMar>
          </w:tcPr>
          <w:p w:rsidR="00B0165C" w:rsidRDefault="00A81AA7">
            <w:pPr>
              <w:pStyle w:val="TAH"/>
            </w:pPr>
            <w:r>
              <w:t>Title</w:t>
            </w:r>
          </w:p>
        </w:tc>
        <w:tc>
          <w:tcPr>
            <w:tcW w:w="993" w:type="dxa"/>
            <w:shd w:val="clear" w:color="auto" w:fill="D9D9D9"/>
            <w:tcMar>
              <w:left w:w="57" w:type="dxa"/>
              <w:right w:w="57" w:type="dxa"/>
            </w:tcMar>
          </w:tcPr>
          <w:p w:rsidR="00B0165C" w:rsidRDefault="00A81AA7">
            <w:pPr>
              <w:pStyle w:val="TAH"/>
            </w:pPr>
            <w:r>
              <w:t xml:space="preserve">For info </w:t>
            </w:r>
            <w:r>
              <w:br/>
              <w:t xml:space="preserve">at TSG# </w:t>
            </w:r>
          </w:p>
        </w:tc>
        <w:tc>
          <w:tcPr>
            <w:tcW w:w="1074" w:type="dxa"/>
            <w:shd w:val="clear" w:color="auto" w:fill="D9D9D9"/>
            <w:tcMar>
              <w:left w:w="57" w:type="dxa"/>
              <w:right w:w="57" w:type="dxa"/>
            </w:tcMar>
          </w:tcPr>
          <w:p w:rsidR="00B0165C" w:rsidRDefault="00A81AA7">
            <w:pPr>
              <w:pStyle w:val="TAH"/>
            </w:pPr>
            <w:r>
              <w:t>For approval at TSG#</w:t>
            </w:r>
          </w:p>
        </w:tc>
        <w:tc>
          <w:tcPr>
            <w:tcW w:w="2186" w:type="dxa"/>
            <w:shd w:val="clear" w:color="auto" w:fill="D9D9D9"/>
            <w:tcMar>
              <w:left w:w="57" w:type="dxa"/>
              <w:right w:w="57" w:type="dxa"/>
            </w:tcMar>
          </w:tcPr>
          <w:p w:rsidR="00B0165C" w:rsidRDefault="00A81AA7">
            <w:pPr>
              <w:pStyle w:val="TAH"/>
            </w:pPr>
            <w:r>
              <w:t>Rapporteur</w:t>
            </w:r>
          </w:p>
        </w:tc>
      </w:tr>
      <w:tr w:rsidR="00B0165C">
        <w:trPr>
          <w:cantSplit/>
          <w:jc w:val="center"/>
        </w:trPr>
        <w:tc>
          <w:tcPr>
            <w:tcW w:w="1617" w:type="dxa"/>
          </w:tcPr>
          <w:p w:rsidR="00B0165C" w:rsidRDefault="00A81AA7">
            <w:pPr>
              <w:pStyle w:val="Guidance"/>
              <w:rPr>
                <w:i w:val="0"/>
                <w:iCs/>
              </w:rPr>
            </w:pPr>
            <w:r>
              <w:rPr>
                <w:i w:val="0"/>
                <w:iCs/>
              </w:rPr>
              <w:t>Internal TR</w:t>
            </w:r>
          </w:p>
          <w:p w:rsidR="00B0165C" w:rsidRDefault="00B0165C">
            <w:pPr>
              <w:pStyle w:val="Guidance"/>
              <w:spacing w:after="0"/>
              <w:rPr>
                <w:lang w:eastAsia="zh-CN"/>
              </w:rPr>
            </w:pPr>
          </w:p>
        </w:tc>
        <w:tc>
          <w:tcPr>
            <w:tcW w:w="1134" w:type="dxa"/>
          </w:tcPr>
          <w:p w:rsidR="00B0165C" w:rsidRDefault="00A81AA7">
            <w:pPr>
              <w:pStyle w:val="Guidance"/>
              <w:spacing w:after="0"/>
            </w:pPr>
            <w:r>
              <w:rPr>
                <w:i w:val="0"/>
                <w:iCs/>
                <w:lang w:eastAsia="zh-CN"/>
              </w:rPr>
              <w:t>22.XXX</w:t>
            </w:r>
          </w:p>
        </w:tc>
        <w:tc>
          <w:tcPr>
            <w:tcW w:w="2409" w:type="dxa"/>
          </w:tcPr>
          <w:p w:rsidR="00B0165C" w:rsidRDefault="00A81AA7">
            <w:pPr>
              <w:pStyle w:val="Guidance"/>
              <w:spacing w:after="0"/>
              <w:rPr>
                <w:i w:val="0"/>
              </w:rPr>
            </w:pPr>
            <w:r>
              <w:rPr>
                <w:i w:val="0"/>
              </w:rPr>
              <w:t>Study on satellite access - Phase 3</w:t>
            </w:r>
          </w:p>
        </w:tc>
        <w:tc>
          <w:tcPr>
            <w:tcW w:w="993" w:type="dxa"/>
          </w:tcPr>
          <w:p w:rsidR="00B0165C" w:rsidRDefault="00A81AA7">
            <w:pPr>
              <w:pStyle w:val="Guidance"/>
              <w:spacing w:after="0"/>
              <w:rPr>
                <w:lang w:eastAsia="zh-CN"/>
              </w:rPr>
            </w:pPr>
            <w:r>
              <w:rPr>
                <w:i w:val="0"/>
                <w:iCs/>
              </w:rPr>
              <w:t>TSG#9</w:t>
            </w:r>
            <w:r>
              <w:rPr>
                <w:rFonts w:hint="eastAsia"/>
                <w:i w:val="0"/>
                <w:iCs/>
                <w:lang w:eastAsia="zh-CN"/>
              </w:rPr>
              <w:t>8</w:t>
            </w:r>
          </w:p>
        </w:tc>
        <w:tc>
          <w:tcPr>
            <w:tcW w:w="1074" w:type="dxa"/>
          </w:tcPr>
          <w:p w:rsidR="00B0165C" w:rsidRDefault="00A81AA7">
            <w:pPr>
              <w:pStyle w:val="Guidance"/>
              <w:spacing w:after="0"/>
              <w:rPr>
                <w:lang w:eastAsia="zh-CN"/>
              </w:rPr>
            </w:pPr>
            <w:r>
              <w:rPr>
                <w:i w:val="0"/>
                <w:iCs/>
              </w:rPr>
              <w:t>TSG#9</w:t>
            </w:r>
            <w:r>
              <w:rPr>
                <w:rFonts w:hint="eastAsia"/>
                <w:i w:val="0"/>
                <w:iCs/>
                <w:lang w:eastAsia="zh-CN"/>
              </w:rPr>
              <w:t>9</w:t>
            </w:r>
          </w:p>
        </w:tc>
        <w:tc>
          <w:tcPr>
            <w:tcW w:w="2186" w:type="dxa"/>
          </w:tcPr>
          <w:p w:rsidR="00B0165C" w:rsidRDefault="00C26E17">
            <w:pPr>
              <w:pStyle w:val="Guidance"/>
              <w:spacing w:after="0"/>
              <w:rPr>
                <w:lang w:eastAsia="zh-CN"/>
              </w:rPr>
            </w:pPr>
            <w:r>
              <w:rPr>
                <w:rFonts w:hint="eastAsia"/>
                <w:lang w:eastAsia="zh-CN"/>
              </w:rPr>
              <w:t>Xu Xia, China Telecom,</w:t>
            </w:r>
          </w:p>
          <w:p w:rsidR="00C26E17" w:rsidRDefault="00A238AD">
            <w:pPr>
              <w:pStyle w:val="Guidance"/>
              <w:spacing w:after="0"/>
              <w:rPr>
                <w:lang w:eastAsia="zh-CN"/>
              </w:rPr>
            </w:pPr>
            <w:hyperlink r:id="rId11" w:history="1">
              <w:r w:rsidR="00C26E17" w:rsidRPr="00497C4C">
                <w:rPr>
                  <w:rStyle w:val="af"/>
                  <w:lang w:eastAsia="zh-CN"/>
                </w:rPr>
                <w:t>xiaxu@chinatelecom.cn</w:t>
              </w:r>
            </w:hyperlink>
          </w:p>
          <w:p w:rsidR="00C26E17" w:rsidRDefault="00C26E17">
            <w:pPr>
              <w:pStyle w:val="Guidance"/>
              <w:spacing w:after="0"/>
              <w:rPr>
                <w:lang w:eastAsia="zh-CN"/>
              </w:rPr>
            </w:pPr>
          </w:p>
        </w:tc>
      </w:tr>
      <w:tr w:rsidR="00B0165C">
        <w:trPr>
          <w:cantSplit/>
          <w:jc w:val="center"/>
        </w:trPr>
        <w:tc>
          <w:tcPr>
            <w:tcW w:w="1617" w:type="dxa"/>
          </w:tcPr>
          <w:p w:rsidR="00B0165C" w:rsidRDefault="00B0165C">
            <w:pPr>
              <w:pStyle w:val="TAL"/>
            </w:pPr>
          </w:p>
        </w:tc>
        <w:tc>
          <w:tcPr>
            <w:tcW w:w="1134" w:type="dxa"/>
          </w:tcPr>
          <w:p w:rsidR="00B0165C" w:rsidRDefault="00B0165C">
            <w:pPr>
              <w:pStyle w:val="TAL"/>
            </w:pPr>
          </w:p>
        </w:tc>
        <w:tc>
          <w:tcPr>
            <w:tcW w:w="2409" w:type="dxa"/>
          </w:tcPr>
          <w:p w:rsidR="00B0165C" w:rsidRDefault="00B0165C">
            <w:pPr>
              <w:pStyle w:val="TAL"/>
            </w:pPr>
          </w:p>
        </w:tc>
        <w:tc>
          <w:tcPr>
            <w:tcW w:w="993" w:type="dxa"/>
          </w:tcPr>
          <w:p w:rsidR="00B0165C" w:rsidRDefault="00B0165C">
            <w:pPr>
              <w:pStyle w:val="TAL"/>
            </w:pPr>
          </w:p>
        </w:tc>
        <w:tc>
          <w:tcPr>
            <w:tcW w:w="1074" w:type="dxa"/>
          </w:tcPr>
          <w:p w:rsidR="00B0165C" w:rsidRDefault="00B0165C">
            <w:pPr>
              <w:pStyle w:val="TAL"/>
            </w:pPr>
          </w:p>
        </w:tc>
        <w:tc>
          <w:tcPr>
            <w:tcW w:w="2186" w:type="dxa"/>
          </w:tcPr>
          <w:p w:rsidR="00B0165C" w:rsidRDefault="00B0165C">
            <w:pPr>
              <w:pStyle w:val="TAL"/>
            </w:pPr>
          </w:p>
        </w:tc>
      </w:tr>
    </w:tbl>
    <w:p w:rsidR="00B0165C" w:rsidRDefault="00B0165C">
      <w:pPr>
        <w:pStyle w:val="FP"/>
      </w:pPr>
    </w:p>
    <w:p w:rsidR="00B0165C" w:rsidRDefault="00B0165C"/>
    <w:tbl>
      <w:tblPr>
        <w:tblW w:w="0" w:type="auto"/>
        <w:jc w:val="center"/>
        <w:tblLayout w:type="fixed"/>
        <w:tblLook w:val="04A0" w:firstRow="1" w:lastRow="0" w:firstColumn="1" w:lastColumn="0" w:noHBand="0" w:noVBand="1"/>
      </w:tblPr>
      <w:tblGrid>
        <w:gridCol w:w="1445"/>
        <w:gridCol w:w="4344"/>
        <w:gridCol w:w="1417"/>
        <w:gridCol w:w="2101"/>
      </w:tblGrid>
      <w:tr w:rsidR="00B0165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B0165C" w:rsidRDefault="00A81AA7">
            <w:pPr>
              <w:pStyle w:val="TAH"/>
            </w:pPr>
            <w:r>
              <w:lastRenderedPageBreak/>
              <w:t>Impacted existing TS/TR {One line per specification. Create/delete lines as needed}</w:t>
            </w:r>
          </w:p>
        </w:tc>
      </w:tr>
      <w:tr w:rsidR="00B0165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B0165C" w:rsidRDefault="00A81AA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B0165C" w:rsidRDefault="00A81AA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B0165C" w:rsidRDefault="00A81AA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B0165C" w:rsidRDefault="00A81AA7">
            <w:pPr>
              <w:pStyle w:val="TAH"/>
            </w:pPr>
            <w:r>
              <w:t>Remarks</w:t>
            </w:r>
          </w:p>
        </w:tc>
      </w:tr>
      <w:tr w:rsidR="00B0165C">
        <w:trPr>
          <w:cantSplit/>
          <w:jc w:val="center"/>
        </w:trPr>
        <w:tc>
          <w:tcPr>
            <w:tcW w:w="1445" w:type="dxa"/>
            <w:tcBorders>
              <w:top w:val="single" w:sz="4" w:space="0" w:color="auto"/>
              <w:left w:val="single" w:sz="4" w:space="0" w:color="auto"/>
              <w:bottom w:val="single" w:sz="4" w:space="0" w:color="auto"/>
              <w:right w:val="single" w:sz="4" w:space="0" w:color="auto"/>
            </w:tcBorders>
          </w:tcPr>
          <w:p w:rsidR="00B0165C" w:rsidRDefault="00B0165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B0165C" w:rsidRDefault="00B0165C">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B0165C" w:rsidRDefault="00B0165C">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B0165C" w:rsidRDefault="00B0165C">
            <w:pPr>
              <w:pStyle w:val="Guidance"/>
              <w:spacing w:after="0"/>
            </w:pPr>
          </w:p>
        </w:tc>
      </w:tr>
      <w:tr w:rsidR="00B0165C">
        <w:trPr>
          <w:cantSplit/>
          <w:jc w:val="center"/>
        </w:trPr>
        <w:tc>
          <w:tcPr>
            <w:tcW w:w="1445" w:type="dxa"/>
            <w:tcBorders>
              <w:top w:val="single" w:sz="4" w:space="0" w:color="auto"/>
              <w:left w:val="single" w:sz="4" w:space="0" w:color="auto"/>
              <w:bottom w:val="single" w:sz="4" w:space="0" w:color="auto"/>
              <w:right w:val="single" w:sz="4" w:space="0" w:color="auto"/>
            </w:tcBorders>
          </w:tcPr>
          <w:p w:rsidR="00B0165C" w:rsidRDefault="00B0165C">
            <w:pPr>
              <w:pStyle w:val="TAL"/>
            </w:pPr>
          </w:p>
        </w:tc>
        <w:tc>
          <w:tcPr>
            <w:tcW w:w="4344" w:type="dxa"/>
            <w:tcBorders>
              <w:top w:val="single" w:sz="4" w:space="0" w:color="auto"/>
              <w:left w:val="single" w:sz="4" w:space="0" w:color="auto"/>
              <w:bottom w:val="single" w:sz="4" w:space="0" w:color="auto"/>
              <w:right w:val="single" w:sz="4" w:space="0" w:color="auto"/>
            </w:tcBorders>
          </w:tcPr>
          <w:p w:rsidR="00B0165C" w:rsidRDefault="00B0165C">
            <w:pPr>
              <w:pStyle w:val="TAL"/>
            </w:pPr>
          </w:p>
        </w:tc>
        <w:tc>
          <w:tcPr>
            <w:tcW w:w="1417" w:type="dxa"/>
            <w:tcBorders>
              <w:top w:val="single" w:sz="4" w:space="0" w:color="auto"/>
              <w:left w:val="single" w:sz="4" w:space="0" w:color="auto"/>
              <w:bottom w:val="single" w:sz="4" w:space="0" w:color="auto"/>
              <w:right w:val="single" w:sz="4" w:space="0" w:color="auto"/>
            </w:tcBorders>
          </w:tcPr>
          <w:p w:rsidR="00B0165C" w:rsidRDefault="00B0165C">
            <w:pPr>
              <w:pStyle w:val="TAL"/>
            </w:pPr>
          </w:p>
        </w:tc>
        <w:tc>
          <w:tcPr>
            <w:tcW w:w="2101" w:type="dxa"/>
            <w:tcBorders>
              <w:top w:val="single" w:sz="4" w:space="0" w:color="auto"/>
              <w:left w:val="single" w:sz="4" w:space="0" w:color="auto"/>
              <w:bottom w:val="single" w:sz="4" w:space="0" w:color="auto"/>
              <w:right w:val="single" w:sz="4" w:space="0" w:color="auto"/>
            </w:tcBorders>
          </w:tcPr>
          <w:p w:rsidR="00B0165C" w:rsidRDefault="00B0165C">
            <w:pPr>
              <w:pStyle w:val="TAL"/>
            </w:pPr>
          </w:p>
        </w:tc>
      </w:tr>
    </w:tbl>
    <w:p w:rsidR="00B0165C" w:rsidRDefault="00B0165C"/>
    <w:p w:rsidR="00B0165C" w:rsidRDefault="00A81AA7">
      <w:pPr>
        <w:pStyle w:val="1"/>
      </w:pPr>
      <w:r>
        <w:t>6</w:t>
      </w:r>
      <w:r>
        <w:tab/>
        <w:t>Work item Rapporteur(s)</w:t>
      </w:r>
    </w:p>
    <w:p w:rsidR="00B0165C" w:rsidRPr="00C26E17" w:rsidRDefault="00C26E17">
      <w:pPr>
        <w:rPr>
          <w:lang w:val="fr-FR" w:eastAsia="zh-CN"/>
        </w:rPr>
      </w:pPr>
      <w:r>
        <w:rPr>
          <w:lang w:val="fr-FR" w:eastAsia="zh-CN"/>
        </w:rPr>
        <w:t xml:space="preserve">Xu Xia, China Telecom, </w:t>
      </w:r>
      <w:hyperlink r:id="rId12" w:history="1">
        <w:r w:rsidRPr="00497C4C">
          <w:rPr>
            <w:rStyle w:val="af"/>
            <w:lang w:val="fr-FR" w:eastAsia="zh-CN"/>
          </w:rPr>
          <w:t>xiaxu@chinatelecom.cn</w:t>
        </w:r>
      </w:hyperlink>
      <w:r>
        <w:rPr>
          <w:lang w:val="fr-FR" w:eastAsia="zh-CN"/>
        </w:rPr>
        <w:t xml:space="preserve"> </w:t>
      </w:r>
    </w:p>
    <w:p w:rsidR="00B0165C" w:rsidRDefault="00A81AA7">
      <w:pPr>
        <w:pStyle w:val="1"/>
      </w:pPr>
      <w:r>
        <w:t>7</w:t>
      </w:r>
      <w:r>
        <w:tab/>
        <w:t>Work item leadership</w:t>
      </w:r>
    </w:p>
    <w:p w:rsidR="00B0165C" w:rsidRDefault="00A81AA7">
      <w:pPr>
        <w:rPr>
          <w:lang w:eastAsia="zh-CN"/>
        </w:rPr>
      </w:pPr>
      <w:r>
        <w:rPr>
          <w:rFonts w:hint="eastAsia"/>
          <w:lang w:eastAsia="zh-CN"/>
        </w:rPr>
        <w:t>SA1</w:t>
      </w:r>
    </w:p>
    <w:p w:rsidR="00B0165C" w:rsidRDefault="00A81AA7">
      <w:pPr>
        <w:pStyle w:val="1"/>
      </w:pPr>
      <w:r>
        <w:t>8</w:t>
      </w:r>
      <w:r>
        <w:tab/>
        <w:t>Aspects that involve other WGs</w:t>
      </w:r>
    </w:p>
    <w:p w:rsidR="00B0165C" w:rsidRPr="003151D6" w:rsidRDefault="00A81AA7" w:rsidP="003151D6">
      <w:pPr>
        <w:pStyle w:val="Guidance"/>
        <w:rPr>
          <w:lang w:eastAsia="zh-CN"/>
        </w:rPr>
      </w:pPr>
      <w:r>
        <w:rPr>
          <w:rFonts w:hint="eastAsia"/>
          <w:lang w:eastAsia="zh-CN"/>
        </w:rPr>
        <w:t>SA2, SA3, RAN WG</w:t>
      </w:r>
    </w:p>
    <w:p w:rsidR="00B0165C" w:rsidRDefault="00A81AA7">
      <w:pPr>
        <w:pStyle w:val="1"/>
      </w:pPr>
      <w:r>
        <w:t>9</w:t>
      </w:r>
      <w:r>
        <w:tab/>
        <w:t>Supporting Individual Members</w:t>
      </w:r>
    </w:p>
    <w:p w:rsidR="00B0165C" w:rsidRDefault="00B0165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B0165C">
        <w:trPr>
          <w:cantSplit/>
          <w:jc w:val="center"/>
        </w:trPr>
        <w:tc>
          <w:tcPr>
            <w:tcW w:w="5029" w:type="dxa"/>
            <w:shd w:val="clear" w:color="auto" w:fill="E0E0E0"/>
          </w:tcPr>
          <w:p w:rsidR="00B0165C" w:rsidRDefault="00A81AA7">
            <w:pPr>
              <w:pStyle w:val="TAH"/>
            </w:pPr>
            <w:r>
              <w:t>Supporting IM name</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China Telecom</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CATT</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China</w:t>
            </w:r>
            <w:r>
              <w:rPr>
                <w:lang w:val="en-US" w:eastAsia="zh-CN"/>
              </w:rPr>
              <w:t xml:space="preserve"> Mobile</w:t>
            </w:r>
          </w:p>
        </w:tc>
      </w:tr>
      <w:tr w:rsidR="00B0165C">
        <w:trPr>
          <w:cantSplit/>
          <w:jc w:val="center"/>
        </w:trPr>
        <w:tc>
          <w:tcPr>
            <w:tcW w:w="5029" w:type="dxa"/>
            <w:shd w:val="clear" w:color="auto" w:fill="auto"/>
          </w:tcPr>
          <w:p w:rsidR="00B0165C" w:rsidRDefault="00D36542">
            <w:pPr>
              <w:pStyle w:val="TAL"/>
              <w:rPr>
                <w:color w:val="1F497D"/>
                <w:lang w:val="en-US" w:eastAsia="zh-CN"/>
              </w:rPr>
            </w:pPr>
            <w:r w:rsidRPr="00D36542">
              <w:rPr>
                <w:rFonts w:hint="eastAsia"/>
                <w:lang w:val="en-US" w:eastAsia="zh-CN"/>
              </w:rPr>
              <w:t>China Unicom</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Xiaomi</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OPPO</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ZTE</w:t>
            </w:r>
          </w:p>
        </w:tc>
      </w:tr>
      <w:tr w:rsidR="00B0165C">
        <w:trPr>
          <w:cantSplit/>
          <w:jc w:val="center"/>
        </w:trPr>
        <w:tc>
          <w:tcPr>
            <w:tcW w:w="5029" w:type="dxa"/>
            <w:shd w:val="clear" w:color="auto" w:fill="auto"/>
          </w:tcPr>
          <w:p w:rsidR="00B0165C" w:rsidRDefault="00D36542">
            <w:pPr>
              <w:pStyle w:val="TAL"/>
              <w:rPr>
                <w:lang w:val="en-US" w:eastAsia="zh-CN"/>
              </w:rPr>
            </w:pPr>
            <w:r>
              <w:rPr>
                <w:rFonts w:hint="eastAsia"/>
                <w:lang w:val="en-US" w:eastAsia="zh-CN"/>
              </w:rPr>
              <w:t>Ali company</w:t>
            </w:r>
          </w:p>
        </w:tc>
      </w:tr>
      <w:tr w:rsidR="00B0165C">
        <w:trPr>
          <w:cantSplit/>
          <w:jc w:val="center"/>
        </w:trPr>
        <w:tc>
          <w:tcPr>
            <w:tcW w:w="5029" w:type="dxa"/>
            <w:shd w:val="clear" w:color="auto" w:fill="auto"/>
          </w:tcPr>
          <w:p w:rsidR="00B0165C" w:rsidRDefault="00B0165C">
            <w:pPr>
              <w:pStyle w:val="TAL"/>
              <w:rPr>
                <w:lang w:val="en-US" w:eastAsia="zh-CN"/>
              </w:rPr>
            </w:pPr>
          </w:p>
        </w:tc>
      </w:tr>
      <w:tr w:rsidR="00B0165C">
        <w:trPr>
          <w:cantSplit/>
          <w:jc w:val="center"/>
        </w:trPr>
        <w:tc>
          <w:tcPr>
            <w:tcW w:w="5029" w:type="dxa"/>
            <w:shd w:val="clear" w:color="auto" w:fill="auto"/>
          </w:tcPr>
          <w:p w:rsidR="00B0165C" w:rsidRDefault="00B0165C">
            <w:pPr>
              <w:pStyle w:val="TAL"/>
            </w:pPr>
          </w:p>
        </w:tc>
      </w:tr>
    </w:tbl>
    <w:p w:rsidR="00B0165C" w:rsidRDefault="00B0165C"/>
    <w:sectPr w:rsidR="00B0165C">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8AD" w:rsidRDefault="00A238AD">
      <w:pPr>
        <w:spacing w:after="0"/>
      </w:pPr>
      <w:r>
        <w:separator/>
      </w:r>
    </w:p>
  </w:endnote>
  <w:endnote w:type="continuationSeparator" w:id="0">
    <w:p w:rsidR="00A238AD" w:rsidRDefault="00A238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8AD" w:rsidRDefault="00A238AD">
      <w:pPr>
        <w:spacing w:after="0"/>
      </w:pPr>
      <w:r>
        <w:separator/>
      </w:r>
    </w:p>
  </w:footnote>
  <w:footnote w:type="continuationSeparator" w:id="0">
    <w:p w:rsidR="00A238AD" w:rsidRDefault="00A238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4FBA"/>
    <w:multiLevelType w:val="hybridMultilevel"/>
    <w:tmpl w:val="D144AE4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D5C092C"/>
    <w:multiLevelType w:val="multilevel"/>
    <w:tmpl w:val="1D5C0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2590710"/>
    <w:multiLevelType w:val="hybridMultilevel"/>
    <w:tmpl w:val="A4D65062"/>
    <w:lvl w:ilvl="0" w:tplc="580C1E42">
      <w:numFmt w:val="bullet"/>
      <w:lvlText w:val="-"/>
      <w:lvlJc w:val="left"/>
      <w:pPr>
        <w:ind w:left="927" w:hanging="360"/>
      </w:pPr>
      <w:rPr>
        <w:rFonts w:ascii="Times New Roman" w:eastAsiaTheme="minorEastAsia" w:hAnsi="Times New Roman" w:cs="Times New Roman" w:hint="default"/>
      </w:rPr>
    </w:lvl>
    <w:lvl w:ilvl="1" w:tplc="580C1E42">
      <w:numFmt w:val="bullet"/>
      <w:lvlText w:val="-"/>
      <w:lvlJc w:val="left"/>
      <w:pPr>
        <w:ind w:left="1407" w:hanging="420"/>
      </w:pPr>
      <w:rPr>
        <w:rFonts w:ascii="Times New Roman" w:eastAsiaTheme="minorEastAsia"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7D991BB7"/>
    <w:multiLevelType w:val="multilevel"/>
    <w:tmpl w:val="7D991BB7"/>
    <w:lvl w:ilvl="0">
      <w:start w:val="1"/>
      <w:numFmt w:val="bullet"/>
      <w:lvlText w:val=""/>
      <w:lvlJc w:val="left"/>
      <w:pPr>
        <w:ind w:left="1271" w:hanging="420"/>
      </w:pPr>
      <w:rPr>
        <w:rFonts w:ascii="Wingdings" w:hAnsi="Wingdings"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AwMDQzszQ3NjQyMjFQ0lEKTi0uzszPAykwqwUAS8mrmCwAAAA="/>
  </w:docVars>
  <w:rsids>
    <w:rsidRoot w:val="00EF6716"/>
    <w:rsid w:val="000009AD"/>
    <w:rsid w:val="00012F58"/>
    <w:rsid w:val="00023B1A"/>
    <w:rsid w:val="000526CB"/>
    <w:rsid w:val="00065CCC"/>
    <w:rsid w:val="00074421"/>
    <w:rsid w:val="000A1D81"/>
    <w:rsid w:val="000B0027"/>
    <w:rsid w:val="000B3142"/>
    <w:rsid w:val="000B78A5"/>
    <w:rsid w:val="00103D20"/>
    <w:rsid w:val="001050FF"/>
    <w:rsid w:val="00147097"/>
    <w:rsid w:val="00153BAC"/>
    <w:rsid w:val="001562DE"/>
    <w:rsid w:val="00164E0B"/>
    <w:rsid w:val="00183379"/>
    <w:rsid w:val="00193BCF"/>
    <w:rsid w:val="0019452F"/>
    <w:rsid w:val="001A6C08"/>
    <w:rsid w:val="001C7109"/>
    <w:rsid w:val="001D5999"/>
    <w:rsid w:val="001E6672"/>
    <w:rsid w:val="001F60D6"/>
    <w:rsid w:val="00205DD8"/>
    <w:rsid w:val="002717A1"/>
    <w:rsid w:val="00275D60"/>
    <w:rsid w:val="002A22C6"/>
    <w:rsid w:val="002A65DC"/>
    <w:rsid w:val="002C06F9"/>
    <w:rsid w:val="002E36A7"/>
    <w:rsid w:val="002F4977"/>
    <w:rsid w:val="003026C6"/>
    <w:rsid w:val="003151D6"/>
    <w:rsid w:val="00347824"/>
    <w:rsid w:val="00351F1F"/>
    <w:rsid w:val="00360F09"/>
    <w:rsid w:val="003A5BF3"/>
    <w:rsid w:val="003E7650"/>
    <w:rsid w:val="00404D31"/>
    <w:rsid w:val="004134AF"/>
    <w:rsid w:val="0043223F"/>
    <w:rsid w:val="00457B3A"/>
    <w:rsid w:val="004907AC"/>
    <w:rsid w:val="004A503E"/>
    <w:rsid w:val="004A6641"/>
    <w:rsid w:val="004D2B4D"/>
    <w:rsid w:val="004F104B"/>
    <w:rsid w:val="004F3992"/>
    <w:rsid w:val="005021DE"/>
    <w:rsid w:val="00512FA4"/>
    <w:rsid w:val="00520A0E"/>
    <w:rsid w:val="0055764A"/>
    <w:rsid w:val="005638D0"/>
    <w:rsid w:val="005A5835"/>
    <w:rsid w:val="005D10D3"/>
    <w:rsid w:val="005D2E16"/>
    <w:rsid w:val="005E15D7"/>
    <w:rsid w:val="005E2924"/>
    <w:rsid w:val="005F0B78"/>
    <w:rsid w:val="005F1C12"/>
    <w:rsid w:val="006509E8"/>
    <w:rsid w:val="00651FC4"/>
    <w:rsid w:val="00656899"/>
    <w:rsid w:val="006940CD"/>
    <w:rsid w:val="006A2FFD"/>
    <w:rsid w:val="006D1E20"/>
    <w:rsid w:val="006E0CD3"/>
    <w:rsid w:val="006F1239"/>
    <w:rsid w:val="006F3F7E"/>
    <w:rsid w:val="0073402F"/>
    <w:rsid w:val="007406F1"/>
    <w:rsid w:val="007616A3"/>
    <w:rsid w:val="0077428C"/>
    <w:rsid w:val="007F3BCD"/>
    <w:rsid w:val="007F77A5"/>
    <w:rsid w:val="00801AB5"/>
    <w:rsid w:val="008035D4"/>
    <w:rsid w:val="00817B4F"/>
    <w:rsid w:val="0085033F"/>
    <w:rsid w:val="00863B7A"/>
    <w:rsid w:val="00873B76"/>
    <w:rsid w:val="00883527"/>
    <w:rsid w:val="0089315D"/>
    <w:rsid w:val="00896204"/>
    <w:rsid w:val="00922A88"/>
    <w:rsid w:val="00925950"/>
    <w:rsid w:val="00935273"/>
    <w:rsid w:val="00960680"/>
    <w:rsid w:val="00970863"/>
    <w:rsid w:val="00971911"/>
    <w:rsid w:val="00982CCC"/>
    <w:rsid w:val="00983E40"/>
    <w:rsid w:val="00992FEB"/>
    <w:rsid w:val="009B09C6"/>
    <w:rsid w:val="009F19BC"/>
    <w:rsid w:val="009F6A95"/>
    <w:rsid w:val="00A149EE"/>
    <w:rsid w:val="00A238AD"/>
    <w:rsid w:val="00A30145"/>
    <w:rsid w:val="00A62A9A"/>
    <w:rsid w:val="00A643BB"/>
    <w:rsid w:val="00A66A12"/>
    <w:rsid w:val="00A73A2C"/>
    <w:rsid w:val="00A75B25"/>
    <w:rsid w:val="00A76E5A"/>
    <w:rsid w:val="00A81A94"/>
    <w:rsid w:val="00A81AA7"/>
    <w:rsid w:val="00AC7A06"/>
    <w:rsid w:val="00AD3EC3"/>
    <w:rsid w:val="00AD6EA2"/>
    <w:rsid w:val="00AD792B"/>
    <w:rsid w:val="00AE300B"/>
    <w:rsid w:val="00B0165C"/>
    <w:rsid w:val="00B02915"/>
    <w:rsid w:val="00B35A0D"/>
    <w:rsid w:val="00B443A5"/>
    <w:rsid w:val="00B56EEB"/>
    <w:rsid w:val="00B632AD"/>
    <w:rsid w:val="00BA4567"/>
    <w:rsid w:val="00BA5785"/>
    <w:rsid w:val="00BD7027"/>
    <w:rsid w:val="00BF0961"/>
    <w:rsid w:val="00C0405A"/>
    <w:rsid w:val="00C24C06"/>
    <w:rsid w:val="00C26E17"/>
    <w:rsid w:val="00C40D79"/>
    <w:rsid w:val="00C66794"/>
    <w:rsid w:val="00C91609"/>
    <w:rsid w:val="00C93378"/>
    <w:rsid w:val="00CE5CDF"/>
    <w:rsid w:val="00CF56F2"/>
    <w:rsid w:val="00CF5805"/>
    <w:rsid w:val="00CF72E6"/>
    <w:rsid w:val="00D2221B"/>
    <w:rsid w:val="00D36542"/>
    <w:rsid w:val="00D4205E"/>
    <w:rsid w:val="00D462CB"/>
    <w:rsid w:val="00D5259A"/>
    <w:rsid w:val="00D614D1"/>
    <w:rsid w:val="00D759B2"/>
    <w:rsid w:val="00D77D0F"/>
    <w:rsid w:val="00DA6185"/>
    <w:rsid w:val="00DE02A0"/>
    <w:rsid w:val="00DE3583"/>
    <w:rsid w:val="00DE7CF3"/>
    <w:rsid w:val="00E147EF"/>
    <w:rsid w:val="00E32B48"/>
    <w:rsid w:val="00E339DC"/>
    <w:rsid w:val="00E35120"/>
    <w:rsid w:val="00E3618E"/>
    <w:rsid w:val="00E36E7D"/>
    <w:rsid w:val="00E84977"/>
    <w:rsid w:val="00ED35E7"/>
    <w:rsid w:val="00EE7290"/>
    <w:rsid w:val="00EF6716"/>
    <w:rsid w:val="00F031EE"/>
    <w:rsid w:val="00F144D0"/>
    <w:rsid w:val="00F17240"/>
    <w:rsid w:val="00F2588B"/>
    <w:rsid w:val="00F366EC"/>
    <w:rsid w:val="00F86C7A"/>
    <w:rsid w:val="00FA218F"/>
    <w:rsid w:val="00FB002C"/>
    <w:rsid w:val="00FC5AF3"/>
    <w:rsid w:val="00FD1CED"/>
    <w:rsid w:val="36A63715"/>
    <w:rsid w:val="61BF7593"/>
    <w:rsid w:val="64DA3A2C"/>
    <w:rsid w:val="687A1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E0DE5A"/>
  <w15:docId w15:val="{D91046D9-E50C-4173-8DB6-8E2ECD88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annotation text"/>
    <w:basedOn w:val="a"/>
    <w:link w:val="a4"/>
    <w:qFormat/>
  </w:style>
  <w:style w:type="paragraph" w:styleId="a5">
    <w:name w:val="Body Text"/>
    <w:basedOn w:val="a"/>
    <w:link w:val="a6"/>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7">
    <w:name w:val="Balloon Text"/>
    <w:basedOn w:val="a"/>
    <w:link w:val="a8"/>
    <w:qFormat/>
    <w:pPr>
      <w:spacing w:after="0"/>
    </w:pPr>
    <w:rPr>
      <w:sz w:val="18"/>
      <w:szCs w:val="18"/>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b">
    <w:name w:val="annotation subject"/>
    <w:basedOn w:val="a3"/>
    <w:next w:val="a3"/>
    <w:link w:val="ac"/>
    <w:qFormat/>
    <w:rPr>
      <w:b/>
      <w:bCs/>
    </w:rPr>
  </w:style>
  <w:style w:type="character" w:styleId="ad">
    <w:name w:val="annotation reference"/>
    <w:basedOn w:val="a0"/>
    <w:qFormat/>
    <w:rPr>
      <w:sz w:val="21"/>
      <w:szCs w:val="21"/>
    </w:rPr>
  </w:style>
  <w:style w:type="paragraph" w:customStyle="1" w:styleId="TAL">
    <w:name w:val="TAL"/>
    <w:basedOn w:val="a"/>
    <w:link w:val="TALCar"/>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qFormat/>
    <w:rPr>
      <w:i/>
    </w:rPr>
  </w:style>
  <w:style w:type="character" w:customStyle="1" w:styleId="a6">
    <w:name w:val="正文文本 字符"/>
    <w:basedOn w:val="a0"/>
    <w:link w:val="a5"/>
    <w:qFormat/>
    <w:rPr>
      <w:i/>
      <w:color w:val="000000"/>
      <w:lang w:val="en-US" w:eastAsia="ja-JP"/>
    </w:rPr>
  </w:style>
  <w:style w:type="character" w:customStyle="1" w:styleId="a8">
    <w:name w:val="批注框文本 字符"/>
    <w:basedOn w:val="a0"/>
    <w:link w:val="a7"/>
    <w:qFormat/>
    <w:rPr>
      <w:color w:val="000000"/>
      <w:sz w:val="18"/>
      <w:szCs w:val="18"/>
      <w:lang w:eastAsia="ja-JP"/>
    </w:rPr>
  </w:style>
  <w:style w:type="character" w:customStyle="1" w:styleId="a4">
    <w:name w:val="批注文字 字符"/>
    <w:basedOn w:val="a0"/>
    <w:link w:val="a3"/>
    <w:qFormat/>
    <w:rPr>
      <w:color w:val="000000"/>
      <w:lang w:eastAsia="ja-JP"/>
    </w:rPr>
  </w:style>
  <w:style w:type="character" w:customStyle="1" w:styleId="ac">
    <w:name w:val="批注主题 字符"/>
    <w:basedOn w:val="a4"/>
    <w:link w:val="ab"/>
    <w:qFormat/>
    <w:rPr>
      <w:b/>
      <w:bCs/>
      <w:color w:val="000000"/>
      <w:lang w:eastAsia="ja-JP"/>
    </w:rPr>
  </w:style>
  <w:style w:type="paragraph" w:styleId="ae">
    <w:name w:val="List Paragraph"/>
    <w:basedOn w:val="a"/>
    <w:uiPriority w:val="34"/>
    <w:unhideWhenUsed/>
    <w:qFormat/>
    <w:pPr>
      <w:ind w:firstLineChars="200" w:firstLine="420"/>
    </w:pPr>
  </w:style>
  <w:style w:type="character" w:customStyle="1" w:styleId="TALCar">
    <w:name w:val="TAL Car"/>
    <w:link w:val="TAL"/>
    <w:rPr>
      <w:rFonts w:ascii="Arial" w:hAnsi="Arial"/>
      <w:color w:val="000000"/>
      <w:sz w:val="18"/>
      <w:lang w:val="en-GB" w:eastAsia="ja-JP"/>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character" w:styleId="af">
    <w:name w:val="Hyperlink"/>
    <w:basedOn w:val="a0"/>
    <w:unhideWhenUsed/>
    <w:rsid w:val="00C26E17"/>
    <w:rPr>
      <w:color w:val="0563C1" w:themeColor="hyperlink"/>
      <w:u w:val="single"/>
    </w:rPr>
  </w:style>
  <w:style w:type="character" w:customStyle="1" w:styleId="B1Char">
    <w:name w:val="B1 Char"/>
    <w:link w:val="B1"/>
    <w:qFormat/>
    <w:rsid w:val="009F6A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iaxu@chinatelecom.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1344</Words>
  <Characters>7667</Characters>
  <Application>Microsoft Office Word</Application>
  <DocSecurity>0</DocSecurity>
  <Lines>63</Lines>
  <Paragraphs>17</Paragraphs>
  <ScaleCrop>false</ScaleCrop>
  <Company>Microsoft</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Thierry Berisot</dc:creator>
  <cp:lastModifiedBy>xiaxu-chinatelecom</cp:lastModifiedBy>
  <cp:revision>2</cp:revision>
  <dcterms:created xsi:type="dcterms:W3CDTF">2022-04-29T12:55:00Z</dcterms:created>
  <dcterms:modified xsi:type="dcterms:W3CDTF">2022-04-29T12:55:00Z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9F9737FEA8C94F32887418316655CCAC</vt:lpwstr>
  </property>
</Properties>
</file>